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18"/>
      <w:r>
        <w:rPr>
          <w:rFonts w:hint="eastAsia" w:ascii="方正小标宋_GBK" w:hAnsi="方正小标宋_GBK" w:eastAsia="方正小标宋_GBK"/>
          <w:b w:val="0"/>
          <w:bCs w:val="0"/>
          <w:sz w:val="30"/>
        </w:rPr>
        <w:t>国有土地上房屋</w:t>
      </w:r>
      <w:bookmarkStart w:id="2" w:name="_GoBack"/>
      <w:bookmarkEnd w:id="2"/>
      <w:r>
        <w:rPr>
          <w:rFonts w:hint="eastAsia" w:ascii="方正小标宋_GBK" w:hAnsi="方正小标宋_GBK" w:eastAsia="方正小标宋_GBK"/>
          <w:b w:val="0"/>
          <w:bCs w:val="0"/>
          <w:sz w:val="30"/>
        </w:rPr>
        <w:t>征收与补偿领域基层政务公开标准目录</w:t>
      </w:r>
    </w:p>
    <w:tbl>
      <w:tblPr>
        <w:tblStyle w:val="3"/>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1800"/>
        <w:gridCol w:w="3240"/>
        <w:gridCol w:w="1260"/>
        <w:gridCol w:w="1440"/>
        <w:gridCol w:w="108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8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324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080" w:type="dxa"/>
            <w:vMerge w:val="restart"/>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pPr>
              <w:widowControl/>
              <w:jc w:val="left"/>
              <w:rPr>
                <w:rFonts w:ascii="Times New Roman" w:hAnsi="Times New Roman"/>
                <w:color w:val="000000"/>
                <w:kern w:val="0"/>
                <w:sz w:val="22"/>
              </w:rPr>
            </w:pPr>
          </w:p>
        </w:tc>
        <w:tc>
          <w:tcPr>
            <w:tcW w:w="90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324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26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44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080" w:type="dxa"/>
            <w:vMerge w:val="continue"/>
            <w:shd w:val="clear" w:color="auto" w:fill="auto"/>
            <w:noWrap w:val="0"/>
            <w:vAlign w:val="center"/>
          </w:tcPr>
          <w:p>
            <w:pPr>
              <w:widowControl/>
              <w:jc w:val="left"/>
              <w:rPr>
                <w:rFonts w:ascii="黑体" w:hAnsi="宋体" w:eastAsia="黑体" w:cs="宋体"/>
                <w:kern w:val="0"/>
                <w:sz w:val="22"/>
              </w:rPr>
            </w:pP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p>
        </w:tc>
        <w:tc>
          <w:tcPr>
            <w:tcW w:w="90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法规</w:t>
            </w:r>
          </w:p>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w:t>
            </w:r>
          </w:p>
        </w:tc>
        <w:tc>
          <w:tcPr>
            <w:tcW w:w="10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国家层面法规政策</w:t>
            </w:r>
          </w:p>
        </w:tc>
        <w:tc>
          <w:tcPr>
            <w:tcW w:w="180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324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26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县（区、市）人民政府及房屋征收部门</w:t>
            </w:r>
          </w:p>
        </w:tc>
        <w:tc>
          <w:tcPr>
            <w:tcW w:w="10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90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10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地方层面法规政策</w:t>
            </w:r>
          </w:p>
        </w:tc>
        <w:tc>
          <w:tcPr>
            <w:tcW w:w="180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地方性法规；地方政府规章；规范性文件。</w:t>
            </w:r>
          </w:p>
        </w:tc>
        <w:tc>
          <w:tcPr>
            <w:tcW w:w="324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26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县（区、市）人民政府及房屋征收部门</w:t>
            </w:r>
          </w:p>
        </w:tc>
        <w:tc>
          <w:tcPr>
            <w:tcW w:w="10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90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征收</w:t>
            </w:r>
          </w:p>
        </w:tc>
        <w:tc>
          <w:tcPr>
            <w:tcW w:w="10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启动要件</w:t>
            </w:r>
          </w:p>
        </w:tc>
        <w:tc>
          <w:tcPr>
            <w:tcW w:w="180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征收项目符合公共利益的相关材料。</w:t>
            </w:r>
          </w:p>
        </w:tc>
        <w:tc>
          <w:tcPr>
            <w:tcW w:w="324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w:t>
            </w:r>
          </w:p>
        </w:tc>
        <w:tc>
          <w:tcPr>
            <w:tcW w:w="126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自收到申请之日起20个工作日内公开</w:t>
            </w:r>
          </w:p>
        </w:tc>
        <w:tc>
          <w:tcPr>
            <w:tcW w:w="144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县（区、市）人民政府及相关部门</w:t>
            </w:r>
          </w:p>
        </w:tc>
        <w:tc>
          <w:tcPr>
            <w:tcW w:w="10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■其他_</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90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10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社会稳定风险评估</w:t>
            </w:r>
          </w:p>
        </w:tc>
        <w:tc>
          <w:tcPr>
            <w:tcW w:w="180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社会稳定风险评估结果。</w:t>
            </w:r>
          </w:p>
        </w:tc>
        <w:tc>
          <w:tcPr>
            <w:tcW w:w="324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w:t>
            </w:r>
          </w:p>
        </w:tc>
        <w:tc>
          <w:tcPr>
            <w:tcW w:w="126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自收到申请之日起20个工作日内公开</w:t>
            </w:r>
          </w:p>
        </w:tc>
        <w:tc>
          <w:tcPr>
            <w:tcW w:w="144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县（区、市）人民政府</w:t>
            </w:r>
          </w:p>
        </w:tc>
        <w:tc>
          <w:tcPr>
            <w:tcW w:w="10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■其他_</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5</w:t>
            </w:r>
          </w:p>
        </w:tc>
        <w:tc>
          <w:tcPr>
            <w:tcW w:w="90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征收</w:t>
            </w:r>
          </w:p>
        </w:tc>
        <w:tc>
          <w:tcPr>
            <w:tcW w:w="10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房屋调查登记</w:t>
            </w:r>
          </w:p>
        </w:tc>
        <w:tc>
          <w:tcPr>
            <w:tcW w:w="180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入户调查通知；调查结果；认定结果。</w:t>
            </w:r>
          </w:p>
        </w:tc>
        <w:tc>
          <w:tcPr>
            <w:tcW w:w="324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县（区、市）人民政府及房屋征收部门</w:t>
            </w:r>
          </w:p>
        </w:tc>
        <w:tc>
          <w:tcPr>
            <w:tcW w:w="10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90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10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房屋征收补偿方案拟订</w:t>
            </w:r>
          </w:p>
        </w:tc>
        <w:tc>
          <w:tcPr>
            <w:tcW w:w="180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论证结论;征求意见情况;根据公众意见修改情况。</w:t>
            </w:r>
          </w:p>
        </w:tc>
        <w:tc>
          <w:tcPr>
            <w:tcW w:w="324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信息形成或者变更之日起20个工作日内予以公开；征求意见期限不得少于30日</w:t>
            </w:r>
          </w:p>
        </w:tc>
        <w:tc>
          <w:tcPr>
            <w:tcW w:w="144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县（区、市）人民政府</w:t>
            </w:r>
          </w:p>
        </w:tc>
        <w:tc>
          <w:tcPr>
            <w:tcW w:w="10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■其他</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7</w:t>
            </w:r>
          </w:p>
        </w:tc>
        <w:tc>
          <w:tcPr>
            <w:tcW w:w="90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10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房屋征收决定</w:t>
            </w:r>
          </w:p>
        </w:tc>
        <w:tc>
          <w:tcPr>
            <w:tcW w:w="180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房屋征收决定公告（包括补偿方案和行政复议、行政诉讼权利等事项）。</w:t>
            </w:r>
          </w:p>
        </w:tc>
        <w:tc>
          <w:tcPr>
            <w:tcW w:w="324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县（区、市）人民政府</w:t>
            </w:r>
          </w:p>
        </w:tc>
        <w:tc>
          <w:tcPr>
            <w:tcW w:w="10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在征收范围内</w:t>
            </w: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8</w:t>
            </w:r>
          </w:p>
        </w:tc>
        <w:tc>
          <w:tcPr>
            <w:tcW w:w="90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评估</w:t>
            </w:r>
          </w:p>
        </w:tc>
        <w:tc>
          <w:tcPr>
            <w:tcW w:w="10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房地产估价机构确定</w:t>
            </w:r>
          </w:p>
        </w:tc>
        <w:tc>
          <w:tcPr>
            <w:tcW w:w="180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房地产估价机构选定或确定通知。</w:t>
            </w:r>
          </w:p>
        </w:tc>
        <w:tc>
          <w:tcPr>
            <w:tcW w:w="324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县（区、市）房屋征收部门</w:t>
            </w:r>
          </w:p>
        </w:tc>
        <w:tc>
          <w:tcPr>
            <w:tcW w:w="10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Merge w:val="restart"/>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p>
            <w:pPr>
              <w:jc w:val="center"/>
              <w:rPr>
                <w:rFonts w:hint="eastAsia" w:ascii="仿宋_GB2312" w:hAnsi="宋体" w:eastAsia="仿宋_GB2312"/>
                <w:color w:val="000000"/>
                <w:sz w:val="18"/>
                <w:szCs w:val="18"/>
              </w:rPr>
            </w:pP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9</w:t>
            </w:r>
          </w:p>
        </w:tc>
        <w:tc>
          <w:tcPr>
            <w:tcW w:w="90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10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被征收房屋评估</w:t>
            </w:r>
          </w:p>
        </w:tc>
        <w:tc>
          <w:tcPr>
            <w:tcW w:w="180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分户的初步评估结果。</w:t>
            </w:r>
          </w:p>
        </w:tc>
        <w:tc>
          <w:tcPr>
            <w:tcW w:w="324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县（区、市）房屋征收部门</w:t>
            </w:r>
          </w:p>
        </w:tc>
        <w:tc>
          <w:tcPr>
            <w:tcW w:w="10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10</w:t>
            </w:r>
          </w:p>
        </w:tc>
        <w:tc>
          <w:tcPr>
            <w:tcW w:w="90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补偿</w:t>
            </w:r>
          </w:p>
        </w:tc>
        <w:tc>
          <w:tcPr>
            <w:tcW w:w="10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分户补偿情况</w:t>
            </w:r>
          </w:p>
        </w:tc>
        <w:tc>
          <w:tcPr>
            <w:tcW w:w="180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分户补偿结果。</w:t>
            </w:r>
          </w:p>
        </w:tc>
        <w:tc>
          <w:tcPr>
            <w:tcW w:w="324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县（区、市）房屋征收部门</w:t>
            </w:r>
          </w:p>
        </w:tc>
        <w:tc>
          <w:tcPr>
            <w:tcW w:w="10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11</w:t>
            </w:r>
          </w:p>
        </w:tc>
        <w:tc>
          <w:tcPr>
            <w:tcW w:w="90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补偿</w:t>
            </w:r>
          </w:p>
        </w:tc>
        <w:tc>
          <w:tcPr>
            <w:tcW w:w="10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产权调换房屋</w:t>
            </w:r>
          </w:p>
        </w:tc>
        <w:tc>
          <w:tcPr>
            <w:tcW w:w="180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房源信息；选房办法；选房结果。</w:t>
            </w:r>
          </w:p>
        </w:tc>
        <w:tc>
          <w:tcPr>
            <w:tcW w:w="324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县（区、市）房屋征收部门</w:t>
            </w:r>
          </w:p>
        </w:tc>
        <w:tc>
          <w:tcPr>
            <w:tcW w:w="10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12</w:t>
            </w:r>
          </w:p>
        </w:tc>
        <w:tc>
          <w:tcPr>
            <w:tcW w:w="90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10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房屋征收补偿决定</w:t>
            </w:r>
          </w:p>
        </w:tc>
        <w:tc>
          <w:tcPr>
            <w:tcW w:w="180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房屋征收补偿决定公告。</w:t>
            </w:r>
          </w:p>
        </w:tc>
        <w:tc>
          <w:tcPr>
            <w:tcW w:w="324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县（区、市）人民政府</w:t>
            </w:r>
          </w:p>
        </w:tc>
        <w:tc>
          <w:tcPr>
            <w:tcW w:w="10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bl>
    <w:p>
      <w:pPr>
        <w:jc w:val="center"/>
        <w:rPr>
          <w:rFonts w:hint="eastAsia" w:ascii="方正小标宋_GBK" w:hAnsi="方正小标宋_GBK" w:eastAsia="方正小标宋_GBK"/>
          <w:b w:val="0"/>
          <w:bCs w:val="0"/>
          <w:sz w:val="30"/>
        </w:rPr>
      </w:pPr>
      <w:r>
        <w:rPr>
          <w:rFonts w:ascii="方正小标宋_GBK" w:hAnsi="方正小标宋_GBK" w:eastAsia="方正小标宋_GBK"/>
          <w:b w:val="0"/>
          <w:bCs w:val="0"/>
          <w:sz w:val="30"/>
        </w:rPr>
        <w:br w:type="page"/>
      </w:r>
      <w:bookmarkEnd w:id="0"/>
      <w:bookmarkStart w:id="1" w:name="_Toc24724719"/>
      <w:r>
        <w:rPr>
          <w:rFonts w:hint="eastAsia" w:ascii="方正小标宋_GBK" w:hAnsi="方正小标宋_GBK" w:eastAsia="方正小标宋_GBK"/>
          <w:b w:val="0"/>
          <w:bCs w:val="0"/>
          <w:sz w:val="30"/>
        </w:rPr>
        <w:t>（十六）农村危房改造领域基层政务公开标准目录</w:t>
      </w:r>
    </w:p>
    <w:bookmarkEnd w:id="1"/>
    <w:tbl>
      <w:tblPr>
        <w:tblStyle w:val="3"/>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02"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018" w:type="dxa"/>
            <w:vMerge w:val="restart"/>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pPr>
              <w:widowControl/>
              <w:jc w:val="left"/>
              <w:rPr>
                <w:rFonts w:ascii="Times New Roman" w:hAnsi="Times New Roman"/>
                <w:color w:val="000000"/>
                <w:kern w:val="0"/>
                <w:sz w:val="22"/>
              </w:rPr>
            </w:pPr>
          </w:p>
        </w:tc>
        <w:tc>
          <w:tcPr>
            <w:tcW w:w="90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80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402"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44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2018" w:type="dxa"/>
            <w:vMerge w:val="continue"/>
            <w:shd w:val="clear" w:color="auto" w:fill="auto"/>
            <w:noWrap w:val="0"/>
            <w:vAlign w:val="center"/>
          </w:tcPr>
          <w:p>
            <w:pPr>
              <w:widowControl/>
              <w:jc w:val="left"/>
              <w:rPr>
                <w:rFonts w:ascii="黑体" w:hAnsi="宋体" w:eastAsia="黑体" w:cs="宋体"/>
                <w:kern w:val="0"/>
                <w:sz w:val="22"/>
              </w:rPr>
            </w:pP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w:t>
            </w:r>
          </w:p>
        </w:tc>
        <w:tc>
          <w:tcPr>
            <w:tcW w:w="90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部门文件</w:t>
            </w:r>
          </w:p>
        </w:tc>
        <w:tc>
          <w:tcPr>
            <w:tcW w:w="126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农村危房改造相关文件</w:t>
            </w:r>
          </w:p>
        </w:tc>
        <w:tc>
          <w:tcPr>
            <w:tcW w:w="1980" w:type="dxa"/>
            <w:shd w:val="clear" w:color="auto" w:fill="auto"/>
            <w:noWrap w:val="0"/>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文件分类、生成日期、标题、文号、有效性、关键词和具体内容等</w:t>
            </w:r>
          </w:p>
        </w:tc>
        <w:tc>
          <w:tcPr>
            <w:tcW w:w="1800" w:type="dxa"/>
            <w:shd w:val="clear" w:color="auto" w:fill="auto"/>
            <w:noWrap w:val="0"/>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《政府信息公开条例》、《关于全面推进政务公开工作的意见》及其实施细则</w:t>
            </w:r>
          </w:p>
        </w:tc>
        <w:tc>
          <w:tcPr>
            <w:tcW w:w="1402" w:type="dxa"/>
            <w:shd w:val="clear" w:color="auto" w:fill="auto"/>
            <w:noWrap w:val="0"/>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信息形成之日起20个工作日内</w:t>
            </w:r>
          </w:p>
        </w:tc>
        <w:tc>
          <w:tcPr>
            <w:tcW w:w="1440" w:type="dxa"/>
            <w:shd w:val="clear" w:color="auto" w:fill="auto"/>
            <w:noWrap w:val="0"/>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住房和城乡建设等相关职能部门</w:t>
            </w:r>
          </w:p>
        </w:tc>
        <w:tc>
          <w:tcPr>
            <w:tcW w:w="2018" w:type="dxa"/>
            <w:shd w:val="clear" w:color="auto" w:fill="auto"/>
            <w:noWrap w:val="0"/>
            <w:vAlign w:val="center"/>
          </w:tcPr>
          <w:p>
            <w:pPr>
              <w:widowControl/>
              <w:rPr>
                <w:rFonts w:ascii="黑体" w:hAnsi="宋体" w:eastAsia="黑体" w:cs="宋体"/>
                <w:kern w:val="0"/>
                <w:sz w:val="22"/>
              </w:rPr>
            </w:pPr>
            <w:r>
              <w:rPr>
                <w:rFonts w:hint="eastAsia" w:ascii="仿宋_GB2312" w:hAnsi="宋体" w:eastAsia="仿宋_GB2312"/>
                <w:color w:val="000000"/>
                <w:sz w:val="18"/>
                <w:szCs w:val="18"/>
              </w:rPr>
              <w:t>政府门户网站</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rPr>
              <w:t>公示栏等平台和办事大厅、便民服务窗口等场所</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noWrap w:val="0"/>
            <w:vAlign w:val="center"/>
          </w:tcPr>
          <w:p>
            <w:pPr>
              <w:jc w:val="center"/>
              <w:rPr>
                <w:rFonts w:hint="eastAsia" w:ascii="仿宋_GB2312" w:hAnsi="宋体" w:eastAsia="仿宋_GB2312"/>
                <w:color w:val="000000"/>
                <w:sz w:val="18"/>
                <w:szCs w:val="18"/>
              </w:rPr>
            </w:pP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trPr>
        <w:tc>
          <w:tcPr>
            <w:tcW w:w="540" w:type="dxa"/>
            <w:shd w:val="clear" w:color="auto" w:fill="auto"/>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2</w:t>
            </w:r>
          </w:p>
        </w:tc>
        <w:tc>
          <w:tcPr>
            <w:tcW w:w="90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6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上级政策解读</w:t>
            </w:r>
          </w:p>
        </w:tc>
        <w:tc>
          <w:tcPr>
            <w:tcW w:w="1980" w:type="dxa"/>
            <w:vMerge w:val="restart"/>
            <w:shd w:val="clear" w:color="auto" w:fill="auto"/>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着重解读政策措施的背景依据、目标任务、主要内容、涉及范围、执行标准，以及注意事项、关键词诠释、惠民利民举措、新旧政策差异等。</w:t>
            </w:r>
          </w:p>
        </w:tc>
        <w:tc>
          <w:tcPr>
            <w:tcW w:w="1800" w:type="dxa"/>
            <w:vMerge w:val="restart"/>
            <w:shd w:val="clear" w:color="auto" w:fill="auto"/>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vMerge w:val="restart"/>
            <w:shd w:val="clear" w:color="auto" w:fill="auto"/>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Merge w:val="restart"/>
            <w:shd w:val="clear" w:color="auto" w:fill="auto"/>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住房和城乡建设等相关职能部门</w:t>
            </w:r>
          </w:p>
        </w:tc>
        <w:tc>
          <w:tcPr>
            <w:tcW w:w="2018" w:type="dxa"/>
            <w:vMerge w:val="restart"/>
            <w:shd w:val="clear" w:color="auto" w:fill="auto"/>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noWrap w:val="0"/>
            <w:vAlign w:val="center"/>
          </w:tcPr>
          <w:p>
            <w:pPr>
              <w:jc w:val="center"/>
              <w:rPr>
                <w:rFonts w:hint="eastAsia" w:ascii="仿宋_GB2312" w:hAnsi="宋体" w:eastAsia="仿宋_GB2312"/>
                <w:color w:val="000000"/>
                <w:sz w:val="18"/>
                <w:szCs w:val="18"/>
              </w:rPr>
            </w:pPr>
          </w:p>
        </w:tc>
        <w:tc>
          <w:tcPr>
            <w:tcW w:w="551"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3</w:t>
            </w:r>
          </w:p>
        </w:tc>
        <w:tc>
          <w:tcPr>
            <w:tcW w:w="90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126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980" w:type="dxa"/>
            <w:vMerge w:val="continue"/>
            <w:shd w:val="clear" w:color="auto" w:fill="auto"/>
            <w:noWrap w:val="0"/>
            <w:vAlign w:val="center"/>
          </w:tcPr>
          <w:p>
            <w:pPr>
              <w:widowControl/>
              <w:rPr>
                <w:rFonts w:hint="eastAsia" w:ascii="仿宋_GB2312" w:hAnsi="宋体" w:eastAsia="仿宋_GB2312"/>
                <w:color w:val="000000"/>
                <w:sz w:val="18"/>
                <w:szCs w:val="18"/>
              </w:rPr>
            </w:pPr>
          </w:p>
        </w:tc>
        <w:tc>
          <w:tcPr>
            <w:tcW w:w="1800" w:type="dxa"/>
            <w:vMerge w:val="continue"/>
            <w:shd w:val="clear" w:color="auto" w:fill="auto"/>
            <w:noWrap w:val="0"/>
            <w:vAlign w:val="center"/>
          </w:tcPr>
          <w:p>
            <w:pPr>
              <w:widowControl/>
              <w:rPr>
                <w:rFonts w:hint="eastAsia" w:ascii="仿宋_GB2312" w:hAnsi="宋体" w:eastAsia="仿宋_GB2312"/>
                <w:color w:val="000000"/>
                <w:sz w:val="18"/>
                <w:szCs w:val="18"/>
              </w:rPr>
            </w:pPr>
          </w:p>
        </w:tc>
        <w:tc>
          <w:tcPr>
            <w:tcW w:w="1402" w:type="dxa"/>
            <w:vMerge w:val="continue"/>
            <w:shd w:val="clear" w:color="auto" w:fill="auto"/>
            <w:noWrap w:val="0"/>
            <w:vAlign w:val="center"/>
          </w:tcPr>
          <w:p>
            <w:pPr>
              <w:widowControl/>
              <w:rPr>
                <w:rFonts w:hint="eastAsia" w:ascii="仿宋_GB2312" w:hAnsi="宋体" w:eastAsia="仿宋_GB2312"/>
                <w:color w:val="000000"/>
                <w:sz w:val="18"/>
                <w:szCs w:val="18"/>
              </w:rPr>
            </w:pPr>
          </w:p>
        </w:tc>
        <w:tc>
          <w:tcPr>
            <w:tcW w:w="1440" w:type="dxa"/>
            <w:vMerge w:val="continue"/>
            <w:shd w:val="clear" w:color="auto" w:fill="auto"/>
            <w:noWrap w:val="0"/>
            <w:vAlign w:val="center"/>
          </w:tcPr>
          <w:p>
            <w:pPr>
              <w:widowControl/>
              <w:rPr>
                <w:rFonts w:hint="eastAsia" w:ascii="仿宋_GB2312" w:hAnsi="宋体" w:eastAsia="仿宋_GB2312"/>
                <w:color w:val="000000"/>
                <w:sz w:val="18"/>
                <w:szCs w:val="18"/>
              </w:rPr>
            </w:pPr>
          </w:p>
        </w:tc>
        <w:tc>
          <w:tcPr>
            <w:tcW w:w="2018" w:type="dxa"/>
            <w:vMerge w:val="continue"/>
            <w:shd w:val="clear" w:color="auto" w:fill="auto"/>
            <w:noWrap w:val="0"/>
            <w:vAlign w:val="center"/>
          </w:tcPr>
          <w:p>
            <w:pPr>
              <w:widowControl/>
              <w:rPr>
                <w:rFonts w:hint="eastAsia" w:ascii="仿宋_GB2312" w:hAnsi="宋体" w:eastAsia="仿宋_GB2312"/>
                <w:color w:val="000000"/>
                <w:sz w:val="18"/>
                <w:szCs w:val="18"/>
              </w:rPr>
            </w:pPr>
          </w:p>
        </w:tc>
        <w:tc>
          <w:tcPr>
            <w:tcW w:w="72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709"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551"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72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72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720" w:type="dxa"/>
            <w:vMerge w:val="continue"/>
            <w:shd w:val="clear" w:color="auto" w:fill="auto"/>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4</w:t>
            </w:r>
          </w:p>
        </w:tc>
        <w:tc>
          <w:tcPr>
            <w:tcW w:w="90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计划实施</w:t>
            </w:r>
          </w:p>
        </w:tc>
        <w:tc>
          <w:tcPr>
            <w:tcW w:w="126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任务分配</w:t>
            </w:r>
          </w:p>
        </w:tc>
        <w:tc>
          <w:tcPr>
            <w:tcW w:w="19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及时公开农村危房改造补助农户名单</w:t>
            </w:r>
          </w:p>
        </w:tc>
        <w:tc>
          <w:tcPr>
            <w:tcW w:w="1800" w:type="dxa"/>
            <w:vMerge w:val="restart"/>
            <w:shd w:val="clear" w:color="auto" w:fill="auto"/>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《住房城乡建设部 财政部 国务院扶贫办关于加强和完善建档立卡贫困户等重点对象农村危房改造若干问题的通知》等</w:t>
            </w:r>
          </w:p>
        </w:tc>
        <w:tc>
          <w:tcPr>
            <w:tcW w:w="1402" w:type="dxa"/>
            <w:shd w:val="clear" w:color="auto" w:fill="auto"/>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分配结果确定后20个工作日内</w:t>
            </w:r>
          </w:p>
        </w:tc>
        <w:tc>
          <w:tcPr>
            <w:tcW w:w="144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住房和城乡建设等相关职能部门</w:t>
            </w:r>
          </w:p>
        </w:tc>
        <w:tc>
          <w:tcPr>
            <w:tcW w:w="2018"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noWrap w:val="0"/>
            <w:vAlign w:val="center"/>
          </w:tcPr>
          <w:p>
            <w:pPr>
              <w:jc w:val="center"/>
              <w:rPr>
                <w:rFonts w:hint="eastAsia" w:ascii="仿宋_GB2312" w:hAnsi="宋体" w:eastAsia="仿宋_GB2312"/>
                <w:color w:val="000000"/>
                <w:sz w:val="18"/>
                <w:szCs w:val="18"/>
              </w:rPr>
            </w:pP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5</w:t>
            </w:r>
          </w:p>
        </w:tc>
        <w:tc>
          <w:tcPr>
            <w:tcW w:w="90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126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组织培训</w:t>
            </w:r>
          </w:p>
        </w:tc>
        <w:tc>
          <w:tcPr>
            <w:tcW w:w="19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组织开展农村建筑工匠培训文件</w:t>
            </w:r>
          </w:p>
        </w:tc>
        <w:tc>
          <w:tcPr>
            <w:tcW w:w="1800" w:type="dxa"/>
            <w:vMerge w:val="continue"/>
            <w:shd w:val="clear" w:color="auto" w:fill="auto"/>
            <w:noWrap w:val="0"/>
            <w:vAlign w:val="center"/>
          </w:tcPr>
          <w:p>
            <w:pPr>
              <w:widowControl/>
              <w:rPr>
                <w:rFonts w:hint="eastAsia" w:ascii="仿宋_GB2312" w:hAnsi="宋体" w:eastAsia="仿宋_GB2312"/>
                <w:color w:val="000000"/>
                <w:sz w:val="18"/>
                <w:szCs w:val="18"/>
              </w:rPr>
            </w:pPr>
          </w:p>
        </w:tc>
        <w:tc>
          <w:tcPr>
            <w:tcW w:w="1402"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住房和城乡建设部门</w:t>
            </w:r>
          </w:p>
        </w:tc>
        <w:tc>
          <w:tcPr>
            <w:tcW w:w="2018"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rPr>
              <w:t>便民服务窗口等场所</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noWrap w:val="0"/>
            <w:vAlign w:val="center"/>
          </w:tcPr>
          <w:p>
            <w:pPr>
              <w:jc w:val="center"/>
              <w:rPr>
                <w:rFonts w:hint="eastAsia" w:ascii="仿宋_GB2312" w:hAnsi="宋体" w:eastAsia="仿宋_GB2312"/>
                <w:color w:val="000000"/>
                <w:sz w:val="18"/>
                <w:szCs w:val="18"/>
              </w:rPr>
            </w:pP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6</w:t>
            </w:r>
          </w:p>
        </w:tc>
        <w:tc>
          <w:tcPr>
            <w:tcW w:w="90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农村危房等级评定标准</w:t>
            </w:r>
          </w:p>
        </w:tc>
        <w:tc>
          <w:tcPr>
            <w:tcW w:w="19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农村危房等级评定相关标准</w:t>
            </w:r>
          </w:p>
        </w:tc>
        <w:tc>
          <w:tcPr>
            <w:tcW w:w="180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住房和城乡建设部门</w:t>
            </w:r>
          </w:p>
        </w:tc>
        <w:tc>
          <w:tcPr>
            <w:tcW w:w="2018"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noWrap w:val="0"/>
            <w:vAlign w:val="center"/>
          </w:tcPr>
          <w:p>
            <w:pPr>
              <w:jc w:val="center"/>
              <w:rPr>
                <w:rFonts w:hint="eastAsia" w:ascii="仿宋_GB2312" w:hAnsi="宋体" w:eastAsia="仿宋_GB2312"/>
                <w:color w:val="000000"/>
                <w:sz w:val="18"/>
                <w:szCs w:val="18"/>
              </w:rPr>
            </w:pP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7</w:t>
            </w:r>
          </w:p>
        </w:tc>
        <w:tc>
          <w:tcPr>
            <w:tcW w:w="90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126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农村危房改造对象申请条件</w:t>
            </w:r>
          </w:p>
        </w:tc>
        <w:tc>
          <w:tcPr>
            <w:tcW w:w="19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农村危房改造农户申请条件</w:t>
            </w:r>
          </w:p>
        </w:tc>
        <w:tc>
          <w:tcPr>
            <w:tcW w:w="180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住房和城乡建设等相关职能部门</w:t>
            </w:r>
          </w:p>
        </w:tc>
        <w:tc>
          <w:tcPr>
            <w:tcW w:w="2018"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noWrap w:val="0"/>
            <w:vAlign w:val="center"/>
          </w:tcPr>
          <w:p>
            <w:pPr>
              <w:jc w:val="center"/>
              <w:rPr>
                <w:rFonts w:hint="eastAsia" w:ascii="仿宋_GB2312" w:hAnsi="宋体" w:eastAsia="仿宋_GB2312"/>
                <w:color w:val="000000"/>
                <w:sz w:val="18"/>
                <w:szCs w:val="18"/>
              </w:rPr>
            </w:pP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8</w:t>
            </w:r>
          </w:p>
        </w:tc>
        <w:tc>
          <w:tcPr>
            <w:tcW w:w="90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19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180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住房和城乡建设部门、财政等部门</w:t>
            </w:r>
          </w:p>
        </w:tc>
        <w:tc>
          <w:tcPr>
            <w:tcW w:w="2018"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noWrap w:val="0"/>
            <w:vAlign w:val="center"/>
          </w:tcPr>
          <w:p>
            <w:pPr>
              <w:jc w:val="center"/>
              <w:rPr>
                <w:rFonts w:hint="eastAsia" w:ascii="仿宋_GB2312" w:hAnsi="宋体" w:eastAsia="仿宋_GB2312"/>
                <w:color w:val="000000"/>
                <w:sz w:val="18"/>
                <w:szCs w:val="18"/>
              </w:rPr>
            </w:pP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9</w:t>
            </w:r>
          </w:p>
        </w:tc>
        <w:tc>
          <w:tcPr>
            <w:tcW w:w="90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126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农村危房改造竣工合格标准</w:t>
            </w:r>
          </w:p>
        </w:tc>
        <w:tc>
          <w:tcPr>
            <w:tcW w:w="19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农村危房改造竣工验收要求</w:t>
            </w:r>
          </w:p>
        </w:tc>
        <w:tc>
          <w:tcPr>
            <w:tcW w:w="180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住房和城乡建设部门</w:t>
            </w:r>
          </w:p>
        </w:tc>
        <w:tc>
          <w:tcPr>
            <w:tcW w:w="2018"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noWrap w:val="0"/>
            <w:vAlign w:val="center"/>
          </w:tcPr>
          <w:p>
            <w:pPr>
              <w:jc w:val="center"/>
              <w:rPr>
                <w:rFonts w:hint="eastAsia" w:ascii="仿宋_GB2312" w:hAnsi="宋体" w:eastAsia="仿宋_GB2312"/>
                <w:color w:val="000000"/>
                <w:sz w:val="18"/>
                <w:szCs w:val="18"/>
              </w:rPr>
            </w:pP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10</w:t>
            </w:r>
          </w:p>
        </w:tc>
        <w:tc>
          <w:tcPr>
            <w:tcW w:w="90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对象认定</w:t>
            </w:r>
          </w:p>
        </w:tc>
        <w:tc>
          <w:tcPr>
            <w:tcW w:w="126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危改户认定程序</w:t>
            </w:r>
          </w:p>
        </w:tc>
        <w:tc>
          <w:tcPr>
            <w:tcW w:w="19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农村危房改造申请程序</w:t>
            </w:r>
          </w:p>
        </w:tc>
        <w:tc>
          <w:tcPr>
            <w:tcW w:w="180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县级住房和城乡建设部门</w:t>
            </w:r>
          </w:p>
        </w:tc>
        <w:tc>
          <w:tcPr>
            <w:tcW w:w="2018"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noWrap w:val="0"/>
            <w:vAlign w:val="center"/>
          </w:tcPr>
          <w:p>
            <w:pPr>
              <w:jc w:val="center"/>
              <w:rPr>
                <w:rFonts w:hint="eastAsia" w:ascii="仿宋_GB2312" w:hAnsi="宋体" w:eastAsia="仿宋_GB2312"/>
                <w:color w:val="000000"/>
                <w:sz w:val="18"/>
                <w:szCs w:val="18"/>
              </w:rPr>
            </w:pP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11</w:t>
            </w:r>
          </w:p>
        </w:tc>
        <w:tc>
          <w:tcPr>
            <w:tcW w:w="90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126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19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180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乡镇人民政府、村委会</w:t>
            </w:r>
          </w:p>
        </w:tc>
        <w:tc>
          <w:tcPr>
            <w:tcW w:w="2018"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noWrap w:val="0"/>
            <w:vAlign w:val="center"/>
          </w:tcPr>
          <w:p>
            <w:pPr>
              <w:jc w:val="center"/>
              <w:rPr>
                <w:rFonts w:hint="eastAsia" w:ascii="仿宋_GB2312" w:hAnsi="宋体" w:eastAsia="仿宋_GB2312"/>
                <w:color w:val="000000"/>
                <w:sz w:val="18"/>
                <w:szCs w:val="18"/>
              </w:rPr>
            </w:pP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12</w:t>
            </w:r>
          </w:p>
        </w:tc>
        <w:tc>
          <w:tcPr>
            <w:tcW w:w="90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预算管理</w:t>
            </w:r>
          </w:p>
        </w:tc>
        <w:tc>
          <w:tcPr>
            <w:tcW w:w="126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预算编制和执行情况</w:t>
            </w:r>
          </w:p>
        </w:tc>
        <w:tc>
          <w:tcPr>
            <w:tcW w:w="19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预算、预算调整、决算、预算执行情况的报告及报表有关内容，部门预算、决算及报表有关内容</w:t>
            </w:r>
          </w:p>
        </w:tc>
        <w:tc>
          <w:tcPr>
            <w:tcW w:w="180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经县级人民代表大会、人民代表大会常务委员会批准或财政部门批复后20日内</w:t>
            </w:r>
          </w:p>
        </w:tc>
        <w:tc>
          <w:tcPr>
            <w:tcW w:w="144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县级财政、住房和城乡建设部门</w:t>
            </w:r>
          </w:p>
        </w:tc>
        <w:tc>
          <w:tcPr>
            <w:tcW w:w="2018"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noWrap w:val="0"/>
            <w:vAlign w:val="center"/>
          </w:tcPr>
          <w:p>
            <w:pPr>
              <w:jc w:val="center"/>
              <w:rPr>
                <w:rFonts w:hint="eastAsia" w:ascii="仿宋_GB2312" w:hAnsi="宋体" w:eastAsia="仿宋_GB2312"/>
                <w:color w:val="000000"/>
                <w:sz w:val="18"/>
                <w:szCs w:val="18"/>
              </w:rPr>
            </w:pP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13</w:t>
            </w:r>
          </w:p>
        </w:tc>
        <w:tc>
          <w:tcPr>
            <w:tcW w:w="90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w:t>
            </w:r>
          </w:p>
        </w:tc>
        <w:tc>
          <w:tcPr>
            <w:tcW w:w="126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决策部署落实情况</w:t>
            </w:r>
          </w:p>
        </w:tc>
        <w:tc>
          <w:tcPr>
            <w:tcW w:w="19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决策部署落实情况等</w:t>
            </w:r>
          </w:p>
        </w:tc>
        <w:tc>
          <w:tcPr>
            <w:tcW w:w="1800"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《关于全面推进政务公开工作的意见》及其实施细则</w:t>
            </w:r>
          </w:p>
        </w:tc>
        <w:tc>
          <w:tcPr>
            <w:tcW w:w="1402"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住房和城乡建设部门</w:t>
            </w:r>
          </w:p>
        </w:tc>
        <w:tc>
          <w:tcPr>
            <w:tcW w:w="2018"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noWrap w:val="0"/>
            <w:vAlign w:val="center"/>
          </w:tcPr>
          <w:p>
            <w:pPr>
              <w:jc w:val="center"/>
              <w:rPr>
                <w:rFonts w:hint="eastAsia" w:ascii="仿宋_GB2312" w:hAnsi="宋体" w:eastAsia="仿宋_GB2312"/>
                <w:color w:val="000000"/>
                <w:sz w:val="18"/>
                <w:szCs w:val="18"/>
              </w:rPr>
            </w:pP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14</w:t>
            </w:r>
          </w:p>
        </w:tc>
        <w:tc>
          <w:tcPr>
            <w:tcW w:w="90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年度任务实施</w:t>
            </w:r>
          </w:p>
        </w:tc>
        <w:tc>
          <w:tcPr>
            <w:tcW w:w="126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年度任务执行情况</w:t>
            </w:r>
          </w:p>
        </w:tc>
        <w:tc>
          <w:tcPr>
            <w:tcW w:w="19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年度工作完成情况等</w:t>
            </w:r>
          </w:p>
        </w:tc>
        <w:tc>
          <w:tcPr>
            <w:tcW w:w="1800" w:type="dxa"/>
            <w:vMerge w:val="continue"/>
            <w:shd w:val="clear" w:color="auto" w:fill="auto"/>
            <w:noWrap w:val="0"/>
            <w:vAlign w:val="center"/>
          </w:tcPr>
          <w:p>
            <w:pPr>
              <w:rPr>
                <w:rFonts w:hint="eastAsia" w:ascii="仿宋_GB2312" w:hAnsi="宋体" w:eastAsia="仿宋_GB2312"/>
                <w:color w:val="000000"/>
                <w:sz w:val="18"/>
                <w:szCs w:val="18"/>
              </w:rPr>
            </w:pPr>
          </w:p>
        </w:tc>
        <w:tc>
          <w:tcPr>
            <w:tcW w:w="1402"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住房和城乡建设部门</w:t>
            </w:r>
          </w:p>
        </w:tc>
        <w:tc>
          <w:tcPr>
            <w:tcW w:w="2018"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noWrap w:val="0"/>
            <w:vAlign w:val="center"/>
          </w:tcPr>
          <w:p>
            <w:pPr>
              <w:jc w:val="center"/>
              <w:rPr>
                <w:rFonts w:hint="eastAsia" w:ascii="仿宋_GB2312" w:hAnsi="宋体" w:eastAsia="仿宋_GB2312"/>
                <w:color w:val="000000"/>
                <w:sz w:val="18"/>
                <w:szCs w:val="18"/>
              </w:rPr>
            </w:pP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15</w:t>
            </w:r>
          </w:p>
        </w:tc>
        <w:tc>
          <w:tcPr>
            <w:tcW w:w="90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舆情收集、热点及关键问题回应</w:t>
            </w:r>
          </w:p>
        </w:tc>
        <w:tc>
          <w:tcPr>
            <w:tcW w:w="126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舆情收集回应</w:t>
            </w:r>
          </w:p>
        </w:tc>
        <w:tc>
          <w:tcPr>
            <w:tcW w:w="19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接受投诉、咨询、建议等联系电话、通信地址等</w:t>
            </w:r>
          </w:p>
        </w:tc>
        <w:tc>
          <w:tcPr>
            <w:tcW w:w="1800"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shd w:val="clear" w:color="auto" w:fill="auto"/>
            <w:noWrap w:val="0"/>
            <w:vAlign w:val="center"/>
          </w:tcPr>
          <w:p>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w:t>
            </w:r>
          </w:p>
          <w:p>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起20个工作日</w:t>
            </w:r>
          </w:p>
          <w:p>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内</w:t>
            </w:r>
          </w:p>
        </w:tc>
        <w:tc>
          <w:tcPr>
            <w:tcW w:w="144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省、市、县级住房和城乡建设等相关职能部门</w:t>
            </w:r>
          </w:p>
        </w:tc>
        <w:tc>
          <w:tcPr>
            <w:tcW w:w="2018"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政府门户网站、政务新媒体、广播、电视、报纸、公示栏等平台和办事大厅、便民服务窗口等场所</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noWrap w:val="0"/>
            <w:vAlign w:val="center"/>
          </w:tcPr>
          <w:p>
            <w:pPr>
              <w:jc w:val="center"/>
              <w:rPr>
                <w:rFonts w:hint="eastAsia" w:ascii="仿宋_GB2312" w:hAnsi="宋体" w:eastAsia="仿宋_GB2312"/>
                <w:color w:val="000000"/>
                <w:sz w:val="18"/>
                <w:szCs w:val="18"/>
              </w:rPr>
            </w:pP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16</w:t>
            </w:r>
          </w:p>
        </w:tc>
        <w:tc>
          <w:tcPr>
            <w:tcW w:w="90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126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9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涉及群众切身利益和舆论关注的焦点、热点及关键问题等回应内容</w:t>
            </w:r>
          </w:p>
        </w:tc>
        <w:tc>
          <w:tcPr>
            <w:tcW w:w="1800" w:type="dxa"/>
            <w:vMerge w:val="continue"/>
            <w:shd w:val="clear" w:color="auto" w:fill="auto"/>
            <w:noWrap w:val="0"/>
            <w:vAlign w:val="center"/>
          </w:tcPr>
          <w:p>
            <w:pPr>
              <w:rPr>
                <w:rFonts w:hint="eastAsia" w:ascii="仿宋_GB2312" w:hAnsi="宋体" w:eastAsia="仿宋_GB2312"/>
                <w:color w:val="000000"/>
                <w:sz w:val="18"/>
                <w:szCs w:val="18"/>
              </w:rPr>
            </w:pPr>
          </w:p>
        </w:tc>
        <w:tc>
          <w:tcPr>
            <w:tcW w:w="1402"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及时发布信息；对涉及重大舆情的，要快速反应，并根据工作进展情况，持续发布信息。</w:t>
            </w:r>
          </w:p>
        </w:tc>
        <w:tc>
          <w:tcPr>
            <w:tcW w:w="144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辖区政府、县级住房和城乡建设等相关职能部门</w:t>
            </w:r>
          </w:p>
        </w:tc>
        <w:tc>
          <w:tcPr>
            <w:tcW w:w="2018"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noWrap w:val="0"/>
            <w:vAlign w:val="center"/>
          </w:tcPr>
          <w:p>
            <w:pPr>
              <w:jc w:val="center"/>
              <w:rPr>
                <w:rFonts w:hint="eastAsia" w:ascii="仿宋_GB2312" w:hAnsi="宋体" w:eastAsia="仿宋_GB2312"/>
                <w:color w:val="000000"/>
                <w:sz w:val="18"/>
                <w:szCs w:val="18"/>
              </w:rPr>
            </w:pP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bl>
    <w:p>
      <w:pPr>
        <w:jc w:val="center"/>
        <w:rPr>
          <w:rFonts w:ascii="仿宋_GB2312" w:hAnsi="Times New Roman" w:eastAsia="仿宋_GB2312"/>
          <w:sz w:val="18"/>
          <w:szCs w:val="18"/>
        </w:rPr>
      </w:pPr>
    </w:p>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宋体"/>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996366"/>
    <w:rsid w:val="0F82225D"/>
    <w:rsid w:val="135100D8"/>
    <w:rsid w:val="3B0D6746"/>
    <w:rsid w:val="47322D8B"/>
    <w:rsid w:val="485A2A22"/>
    <w:rsid w:val="5BD10D58"/>
    <w:rsid w:val="63D0573A"/>
    <w:rsid w:val="74996366"/>
    <w:rsid w:val="76EE3D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2020-05-26T03:15:00Z</dcterms:created>
  <dc:creator>小西吗</dc:creator>
  <cp:lastModifiedBy>晓得读书</cp:lastModifiedBy>
  <dcterms:modified xsi:type="dcterms:W3CDTF">2020-12-17T05:42:53Z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