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方正小标宋_GBK" w:hAnsi="方正小标宋_GBK" w:eastAsia="方正小标宋_GBK"/>
          <w:b w:val="0"/>
          <w:bCs w:val="0"/>
          <w:sz w:val="30"/>
          <w:lang w:val="en-US" w:eastAsia="zh-CN"/>
        </w:rPr>
      </w:pPr>
      <w:bookmarkStart w:id="0" w:name="_Toc24724723"/>
      <w:r>
        <w:rPr>
          <w:rFonts w:hint="eastAsia" w:ascii="方正小标宋_GBK" w:hAnsi="方正小标宋_GBK" w:eastAsia="方正小标宋_GBK"/>
          <w:b w:val="0"/>
          <w:bCs w:val="0"/>
          <w:sz w:val="30"/>
        </w:rPr>
        <w:t>公共文化服务领域基层政务公开标准目录</w:t>
      </w:r>
      <w:bookmarkEnd w:id="0"/>
      <w:r>
        <w:rPr>
          <w:rFonts w:hint="eastAsia" w:ascii="方正小标宋_GBK" w:hAnsi="方正小标宋_GBK" w:eastAsia="方正小标宋_GBK"/>
          <w:b w:val="0"/>
          <w:bCs w:val="0"/>
          <w:sz w:val="30"/>
          <w:lang w:eastAsia="zh-CN"/>
        </w:rPr>
        <w:t>（</w:t>
      </w:r>
      <w:r>
        <w:rPr>
          <w:rFonts w:hint="eastAsia" w:ascii="方正小标宋_GBK" w:hAnsi="方正小标宋_GBK" w:eastAsia="方正小标宋_GBK"/>
          <w:b w:val="0"/>
          <w:bCs w:val="0"/>
          <w:sz w:val="30"/>
          <w:lang w:val="en-US" w:eastAsia="zh-CN"/>
        </w:rPr>
        <w:t>试行）</w:t>
      </w:r>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73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814" w:type="dxa"/>
            <w:vMerge w:val="continue"/>
            <w:noWrap w:val="0"/>
            <w:vAlign w:val="center"/>
          </w:tcPr>
          <w:p>
            <w:pPr>
              <w:widowControl/>
              <w:jc w:val="left"/>
              <w:rPr>
                <w:rFonts w:ascii="黑体" w:hAnsi="宋体" w:eastAsia="黑体" w:cs="宋体"/>
                <w:color w:val="000000"/>
                <w:kern w:val="0"/>
                <w:sz w:val="22"/>
              </w:rPr>
            </w:pPr>
          </w:p>
        </w:tc>
        <w:tc>
          <w:tcPr>
            <w:tcW w:w="1426"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《行政许可法》、《政府信息公开条例》、《互联网上网服务营业场所管理条例》</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《行政许可法》、《政府信息公开条例》、《营业性演出管理条例》、《文化部关于落实“先照后证”改进文化市场行政审批工作的通知》 </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73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营业性演出审批</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县级文物保护单位保护范围内其他建设工程或者爆破、钻探、挖掘等作业审批</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县级文物保护单位建设控制地带内建设工程设计方案审批</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县级文物保护单位实施原址保护措施审批</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县级文物保护单位和未核定为文物保护单位的不可移动文物修缮审批</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9</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核定为县级文物保护单位的属于国家所有的纪念建筑物或者古建筑改变用途审批</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10</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非国有文物收藏单位和其他单位举办展览需借用国有馆藏二级以下文物审批</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11</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12</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13</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14</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15</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16</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17</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18</w:t>
            </w:r>
          </w:p>
        </w:tc>
        <w:tc>
          <w:tcPr>
            <w:tcW w:w="73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s="Times New Roman"/>
                <w:kern w:val="2"/>
                <w:sz w:val="18"/>
                <w:szCs w:val="18"/>
                <w:lang w:val="en-US" w:eastAsia="zh-CN" w:bidi="ar"/>
              </w:rPr>
              <w:t>文博单位名录</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s="Times New Roman"/>
                <w:kern w:val="2"/>
                <w:sz w:val="18"/>
                <w:szCs w:val="18"/>
                <w:lang w:val="en-US" w:eastAsia="zh-CN" w:bidi="ar"/>
              </w:rPr>
              <w:t>文物保护管理机构和博物馆名录</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s="Times New Roman"/>
                <w:kern w:val="2"/>
                <w:sz w:val="18"/>
                <w:szCs w:val="18"/>
                <w:lang w:val="en-US" w:eastAsia="zh-CN" w:bidi="ar"/>
              </w:rPr>
              <w:t>《政府信息公开条例》</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s="Times New Roman"/>
                <w:kern w:val="2"/>
                <w:sz w:val="18"/>
                <w:szCs w:val="18"/>
                <w:lang w:val="en-US" w:eastAsia="zh-CN" w:bidi="ar"/>
              </w:rPr>
              <w:t>信息形</w:t>
            </w:r>
            <w:bookmarkStart w:id="1" w:name="_GoBack"/>
            <w:bookmarkEnd w:id="1"/>
            <w:r>
              <w:rPr>
                <w:rFonts w:hint="eastAsia" w:ascii="仿宋_GB2312" w:hAnsi="Times New Roman" w:eastAsia="仿宋_GB2312" w:cs="Times New Roman"/>
                <w:kern w:val="2"/>
                <w:sz w:val="18"/>
                <w:szCs w:val="18"/>
                <w:lang w:val="en-US" w:eastAsia="zh-CN" w:bidi="ar"/>
              </w:rPr>
              <w:t>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s="Times New Roman"/>
                <w:kern w:val="2"/>
                <w:sz w:val="18"/>
                <w:szCs w:val="18"/>
                <w:lang w:val="en-US" w:eastAsia="zh-CN" w:bidi="ar"/>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s="Times New Roman"/>
                <w:kern w:val="2"/>
                <w:sz w:val="18"/>
                <w:szCs w:val="18"/>
                <w:lang w:val="en-US" w:eastAsia="zh-CN" w:bidi="ar"/>
              </w:rPr>
              <w:t>■政府网站</w:t>
            </w:r>
          </w:p>
        </w:tc>
        <w:tc>
          <w:tcPr>
            <w:tcW w:w="720" w:type="dxa"/>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r>
    </w:tbl>
    <w:p>
      <w:pPr>
        <w:jc w:val="left"/>
        <w:rPr>
          <w:rFonts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51E9B"/>
    <w:rsid w:val="43E51E9B"/>
    <w:rsid w:val="479618CD"/>
    <w:rsid w:val="4DEB746B"/>
    <w:rsid w:val="53CB7A8B"/>
    <w:rsid w:val="54372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2020-06-15T01:06:00Z</dcterms:created>
  <dc:creator>WPS_1512352148</dc:creator>
  <cp:lastModifiedBy>陈虹宇</cp:lastModifiedBy>
  <dcterms:modified xsi:type="dcterms:W3CDTF">2020-11-30T07:13:16Z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