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bCs/>
          <w:sz w:val="32"/>
          <w:szCs w:val="32"/>
        </w:rPr>
      </w:pPr>
      <w:r>
        <w:rPr>
          <w:rFonts w:hint="eastAsia" w:ascii="宋体" w:hAnsi="宋体" w:cs="宋体"/>
          <w:bCs/>
          <w:sz w:val="32"/>
          <w:szCs w:val="32"/>
        </w:rPr>
        <w:t>洮北区20</w:t>
      </w:r>
      <w:r>
        <w:rPr>
          <w:rFonts w:hint="eastAsia" w:ascii="宋体" w:hAnsi="宋体" w:cs="宋体"/>
          <w:bCs/>
          <w:sz w:val="32"/>
          <w:szCs w:val="32"/>
          <w:lang w:val="en-US" w:eastAsia="zh-CN"/>
        </w:rPr>
        <w:t>21</w:t>
      </w:r>
      <w:r>
        <w:rPr>
          <w:rFonts w:hint="eastAsia" w:ascii="宋体" w:hAnsi="宋体" w:cs="宋体"/>
          <w:bCs/>
          <w:sz w:val="32"/>
          <w:szCs w:val="32"/>
        </w:rPr>
        <w:t>年</w:t>
      </w:r>
      <w:r>
        <w:rPr>
          <w:rFonts w:hint="eastAsia" w:ascii="宋体" w:hAnsi="宋体" w:cs="宋体"/>
          <w:bCs/>
          <w:sz w:val="32"/>
          <w:szCs w:val="32"/>
          <w:lang w:eastAsia="zh-CN"/>
        </w:rPr>
        <w:t>乡村建设行动交通基础设施项目（通屯硬化路）建设项目</w:t>
      </w:r>
      <w:r>
        <w:rPr>
          <w:rFonts w:hint="eastAsia" w:ascii="宋体" w:hAnsi="宋体" w:cs="宋体"/>
          <w:bCs/>
          <w:sz w:val="32"/>
          <w:szCs w:val="32"/>
        </w:rPr>
        <w:t>招标文件关键内容信息公开</w:t>
      </w:r>
    </w:p>
    <w:p>
      <w:pPr>
        <w:jc w:val="center"/>
        <w:rPr>
          <w:rFonts w:hint="eastAsia" w:ascii="宋体" w:hAnsi="宋体" w:eastAsia="宋体" w:cs="宋体"/>
          <w:bCs/>
          <w:sz w:val="32"/>
          <w:szCs w:val="32"/>
          <w:lang w:eastAsia="zh-CN"/>
        </w:rPr>
      </w:pPr>
      <w:r>
        <w:rPr>
          <w:rFonts w:hint="eastAsia" w:ascii="宋体" w:hAnsi="宋体" w:cs="宋体"/>
          <w:bCs/>
          <w:sz w:val="32"/>
          <w:szCs w:val="32"/>
          <w:lang w:eastAsia="zh-CN"/>
        </w:rPr>
        <w:t>项目编</w:t>
      </w:r>
      <w:r>
        <w:rPr>
          <w:rFonts w:hint="eastAsia" w:ascii="宋体" w:hAnsi="宋体" w:eastAsia="宋体" w:cs="宋体"/>
          <w:bCs/>
          <w:sz w:val="32"/>
          <w:szCs w:val="32"/>
          <w:lang w:eastAsia="zh-CN"/>
        </w:rPr>
        <w:t>号：</w:t>
      </w:r>
      <w:r>
        <w:rPr>
          <w:rFonts w:hint="eastAsia" w:ascii="宋体" w:hAnsi="宋体" w:eastAsia="宋体" w:cs="宋体"/>
          <w:bCs/>
          <w:sz w:val="32"/>
          <w:szCs w:val="32"/>
          <w:lang w:val="en-US" w:eastAsia="zh-CN"/>
        </w:rPr>
        <w:t>JLZZ-JSGC-2021016</w:t>
      </w:r>
    </w:p>
    <w:p>
      <w:pPr>
        <w:pStyle w:val="19"/>
        <w:tabs>
          <w:tab w:val="left" w:pos="426"/>
        </w:tabs>
        <w:spacing w:line="276" w:lineRule="auto"/>
        <w:jc w:val="left"/>
        <w:outlineLvl w:val="2"/>
        <w:rPr>
          <w:rFonts w:ascii="黑体" w:hAnsi="黑体" w:eastAsia="黑体"/>
          <w:b w:val="0"/>
        </w:rPr>
      </w:pPr>
      <w:bookmarkStart w:id="0" w:name="_Toc508718205"/>
      <w:bookmarkStart w:id="1" w:name="_Toc257655328"/>
      <w:bookmarkStart w:id="2" w:name="_Toc483222545"/>
      <w:bookmarkStart w:id="3" w:name="_Toc508718207"/>
      <w:bookmarkStart w:id="4" w:name="_Toc361838104"/>
      <w:bookmarkStart w:id="5" w:name="_Toc356741790"/>
      <w:r>
        <w:rPr>
          <w:rFonts w:ascii="黑体" w:hAnsi="黑体" w:eastAsia="黑体"/>
          <w:b w:val="0"/>
        </w:rPr>
        <w:t>1.</w:t>
      </w:r>
      <w:r>
        <w:rPr>
          <w:rFonts w:hint="eastAsia" w:ascii="黑体" w:hAnsi="黑体" w:eastAsia="黑体"/>
          <w:b w:val="0"/>
        </w:rPr>
        <w:t>招标条件</w:t>
      </w:r>
      <w:bookmarkEnd w:id="0"/>
    </w:p>
    <w:p>
      <w:pPr>
        <w:ind w:firstLine="420" w:firstLineChars="200"/>
        <w:rPr>
          <w:rFonts w:hint="eastAsia" w:ascii="宋体" w:hAnsi="宋体" w:eastAsia="宋体" w:cs="宋体"/>
          <w:kern w:val="0"/>
          <w:szCs w:val="21"/>
        </w:rPr>
      </w:pPr>
      <w:bookmarkStart w:id="6" w:name="_Toc508718206"/>
      <w:bookmarkStart w:id="7" w:name="_Toc483222544"/>
      <w:r>
        <w:rPr>
          <w:rFonts w:hint="eastAsia" w:ascii="宋体" w:hAnsi="宋体" w:eastAsia="宋体" w:cs="宋体"/>
          <w:kern w:val="0"/>
          <w:szCs w:val="21"/>
        </w:rPr>
        <w:t>本招标</w:t>
      </w:r>
      <w:r>
        <w:rPr>
          <w:rFonts w:hint="eastAsia" w:ascii="宋体" w:hAnsi="宋体" w:eastAsia="宋体" w:cs="宋体"/>
          <w:kern w:val="0"/>
          <w:szCs w:val="21"/>
          <w:highlight w:val="none"/>
        </w:rPr>
        <w:t>项目</w:t>
      </w:r>
      <w:r>
        <w:rPr>
          <w:rFonts w:hint="eastAsia" w:ascii="宋体" w:hAnsi="宋体" w:eastAsia="宋体" w:cs="宋体"/>
          <w:kern w:val="0"/>
          <w:szCs w:val="21"/>
        </w:rPr>
        <w:t>洮北区20</w:t>
      </w:r>
      <w:r>
        <w:rPr>
          <w:rFonts w:hint="eastAsia" w:ascii="宋体" w:hAnsi="宋体" w:eastAsia="宋体" w:cs="宋体"/>
          <w:kern w:val="0"/>
          <w:szCs w:val="21"/>
          <w:lang w:val="en-US" w:eastAsia="zh-CN"/>
        </w:rPr>
        <w:t>21</w:t>
      </w:r>
      <w:r>
        <w:rPr>
          <w:rFonts w:hint="eastAsia" w:ascii="宋体" w:hAnsi="宋体" w:eastAsia="宋体" w:cs="宋体"/>
          <w:kern w:val="0"/>
          <w:szCs w:val="21"/>
        </w:rPr>
        <w:t>年</w:t>
      </w:r>
      <w:r>
        <w:rPr>
          <w:rFonts w:hint="eastAsia" w:ascii="宋体" w:hAnsi="宋体" w:eastAsia="宋体" w:cs="宋体"/>
          <w:kern w:val="0"/>
          <w:szCs w:val="21"/>
          <w:lang w:eastAsia="zh-CN"/>
        </w:rPr>
        <w:t>乡村建设行动交通基础设施项目（通屯硬化路）建设项目</w:t>
      </w:r>
      <w:r>
        <w:rPr>
          <w:rFonts w:hint="eastAsia" w:ascii="宋体" w:hAnsi="宋体" w:eastAsia="宋体" w:cs="宋体"/>
          <w:kern w:val="0"/>
          <w:szCs w:val="21"/>
          <w:lang w:val="en-US" w:eastAsia="zh-CN"/>
        </w:rPr>
        <w:t>已由白城市洮北区发展和改革局</w:t>
      </w:r>
      <w:r>
        <w:rPr>
          <w:rFonts w:hint="eastAsia" w:ascii="宋体" w:hAnsi="宋体" w:eastAsia="宋体" w:cs="宋体"/>
          <w:kern w:val="0"/>
          <w:szCs w:val="21"/>
          <w:lang w:eastAsia="zh-CN"/>
        </w:rPr>
        <w:t>“白洮发改字[20</w:t>
      </w:r>
      <w:r>
        <w:rPr>
          <w:rFonts w:hint="eastAsia" w:ascii="宋体" w:hAnsi="宋体" w:eastAsia="宋体" w:cs="宋体"/>
          <w:kern w:val="0"/>
          <w:szCs w:val="21"/>
          <w:lang w:val="en-US" w:eastAsia="zh-CN"/>
        </w:rPr>
        <w:t>21</w:t>
      </w:r>
      <w:r>
        <w:rPr>
          <w:rFonts w:hint="eastAsia" w:ascii="宋体" w:hAnsi="宋体" w:eastAsia="宋体" w:cs="宋体"/>
          <w:kern w:val="0"/>
          <w:szCs w:val="21"/>
          <w:lang w:eastAsia="zh-CN"/>
        </w:rPr>
        <w:t>]</w:t>
      </w:r>
      <w:r>
        <w:rPr>
          <w:rFonts w:hint="eastAsia" w:ascii="宋体" w:hAnsi="宋体" w:eastAsia="宋体" w:cs="宋体"/>
          <w:kern w:val="0"/>
          <w:szCs w:val="21"/>
          <w:lang w:val="en-US" w:eastAsia="zh-CN"/>
        </w:rPr>
        <w:t>4</w:t>
      </w:r>
      <w:r>
        <w:rPr>
          <w:rFonts w:hint="eastAsia" w:ascii="宋体" w:hAnsi="宋体" w:eastAsia="宋体" w:cs="宋体"/>
          <w:kern w:val="0"/>
          <w:szCs w:val="21"/>
          <w:highlight w:val="none"/>
          <w:lang w:val="en-US" w:eastAsia="zh-CN"/>
        </w:rPr>
        <w:t>6</w:t>
      </w:r>
      <w:r>
        <w:rPr>
          <w:rFonts w:hint="eastAsia" w:ascii="宋体" w:hAnsi="宋体" w:eastAsia="宋体" w:cs="宋体"/>
          <w:kern w:val="0"/>
          <w:szCs w:val="21"/>
          <w:highlight w:val="none"/>
        </w:rPr>
        <w:t>号”批准建设</w:t>
      </w:r>
      <w:r>
        <w:rPr>
          <w:rFonts w:hint="eastAsia" w:ascii="宋体" w:hAnsi="宋体" w:eastAsia="宋体" w:cs="宋体"/>
          <w:kern w:val="0"/>
          <w:szCs w:val="21"/>
          <w:highlight w:val="none"/>
          <w:lang w:eastAsia="zh-CN"/>
        </w:rPr>
        <w:t>，施工图已由白城市洮北区交通运输局以“</w:t>
      </w:r>
      <w:r>
        <w:rPr>
          <w:rFonts w:hint="eastAsia" w:ascii="宋体" w:hAnsi="宋体" w:eastAsia="宋体" w:cs="宋体"/>
          <w:kern w:val="0"/>
          <w:szCs w:val="21"/>
          <w:highlight w:val="none"/>
        </w:rPr>
        <w:t>白洮</w:t>
      </w:r>
      <w:r>
        <w:rPr>
          <w:rFonts w:hint="eastAsia" w:ascii="宋体" w:hAnsi="宋体" w:eastAsia="宋体" w:cs="宋体"/>
          <w:kern w:val="0"/>
          <w:szCs w:val="21"/>
          <w:highlight w:val="none"/>
          <w:lang w:eastAsia="zh-CN"/>
        </w:rPr>
        <w:t>交</w:t>
      </w:r>
      <w:r>
        <w:rPr>
          <w:rFonts w:hint="eastAsia" w:ascii="宋体" w:hAnsi="宋体" w:eastAsia="宋体" w:cs="宋体"/>
          <w:kern w:val="0"/>
          <w:szCs w:val="21"/>
          <w:highlight w:val="none"/>
        </w:rPr>
        <w:t>发[20</w:t>
      </w:r>
      <w:r>
        <w:rPr>
          <w:rFonts w:hint="eastAsia" w:ascii="宋体" w:hAnsi="宋体" w:eastAsia="宋体" w:cs="宋体"/>
          <w:kern w:val="0"/>
          <w:szCs w:val="21"/>
          <w:highlight w:val="none"/>
          <w:lang w:val="en-US" w:eastAsia="zh-CN"/>
        </w:rPr>
        <w:t>21</w:t>
      </w:r>
      <w:r>
        <w:rPr>
          <w:rFonts w:hint="eastAsia" w:ascii="宋体" w:hAnsi="宋体" w:eastAsia="宋体" w:cs="宋体"/>
          <w:kern w:val="0"/>
          <w:szCs w:val="21"/>
          <w:highlight w:val="none"/>
        </w:rPr>
        <w:t>]</w:t>
      </w:r>
      <w:r>
        <w:rPr>
          <w:rFonts w:hint="eastAsia" w:ascii="宋体" w:hAnsi="宋体" w:eastAsia="宋体" w:cs="宋体"/>
          <w:kern w:val="0"/>
          <w:szCs w:val="21"/>
          <w:highlight w:val="none"/>
          <w:lang w:val="en-US" w:eastAsia="zh-CN"/>
        </w:rPr>
        <w:t>68</w:t>
      </w:r>
      <w:r>
        <w:rPr>
          <w:rFonts w:hint="eastAsia" w:ascii="宋体" w:hAnsi="宋体" w:eastAsia="宋体" w:cs="宋体"/>
          <w:kern w:val="0"/>
          <w:szCs w:val="21"/>
          <w:highlight w:val="none"/>
        </w:rPr>
        <w:t>号</w:t>
      </w: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rPr>
        <w:t>白洮</w:t>
      </w:r>
      <w:r>
        <w:rPr>
          <w:rFonts w:hint="eastAsia" w:ascii="宋体" w:hAnsi="宋体" w:eastAsia="宋体" w:cs="宋体"/>
          <w:kern w:val="0"/>
          <w:szCs w:val="21"/>
          <w:highlight w:val="none"/>
          <w:lang w:eastAsia="zh-CN"/>
        </w:rPr>
        <w:t>交</w:t>
      </w:r>
      <w:r>
        <w:rPr>
          <w:rFonts w:hint="eastAsia" w:ascii="宋体" w:hAnsi="宋体" w:eastAsia="宋体" w:cs="宋体"/>
          <w:kern w:val="0"/>
          <w:szCs w:val="21"/>
          <w:highlight w:val="none"/>
        </w:rPr>
        <w:t>发[20</w:t>
      </w:r>
      <w:r>
        <w:rPr>
          <w:rFonts w:hint="eastAsia" w:ascii="宋体" w:hAnsi="宋体" w:eastAsia="宋体" w:cs="宋体"/>
          <w:kern w:val="0"/>
          <w:szCs w:val="21"/>
          <w:highlight w:val="none"/>
          <w:lang w:val="en-US" w:eastAsia="zh-CN"/>
        </w:rPr>
        <w:t>21</w:t>
      </w:r>
      <w:r>
        <w:rPr>
          <w:rFonts w:hint="eastAsia" w:ascii="宋体" w:hAnsi="宋体" w:eastAsia="宋体" w:cs="宋体"/>
          <w:kern w:val="0"/>
          <w:szCs w:val="21"/>
          <w:highlight w:val="none"/>
        </w:rPr>
        <w:t>]</w:t>
      </w:r>
      <w:r>
        <w:rPr>
          <w:rFonts w:hint="eastAsia" w:ascii="宋体" w:hAnsi="宋体" w:eastAsia="宋体" w:cs="宋体"/>
          <w:kern w:val="0"/>
          <w:szCs w:val="21"/>
          <w:highlight w:val="none"/>
          <w:lang w:val="en-US" w:eastAsia="zh-CN"/>
        </w:rPr>
        <w:t>69</w:t>
      </w:r>
      <w:r>
        <w:rPr>
          <w:rFonts w:hint="eastAsia" w:ascii="宋体" w:hAnsi="宋体" w:eastAsia="宋体" w:cs="宋体"/>
          <w:kern w:val="0"/>
          <w:szCs w:val="21"/>
          <w:highlight w:val="none"/>
        </w:rPr>
        <w:t>号</w:t>
      </w: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rPr>
        <w:t>白洮</w:t>
      </w:r>
      <w:r>
        <w:rPr>
          <w:rFonts w:hint="eastAsia" w:ascii="宋体" w:hAnsi="宋体" w:eastAsia="宋体" w:cs="宋体"/>
          <w:kern w:val="0"/>
          <w:szCs w:val="21"/>
          <w:highlight w:val="none"/>
          <w:lang w:eastAsia="zh-CN"/>
        </w:rPr>
        <w:t>交</w:t>
      </w:r>
      <w:r>
        <w:rPr>
          <w:rFonts w:hint="eastAsia" w:ascii="宋体" w:hAnsi="宋体" w:eastAsia="宋体" w:cs="宋体"/>
          <w:kern w:val="0"/>
          <w:szCs w:val="21"/>
          <w:highlight w:val="none"/>
        </w:rPr>
        <w:t>发[20</w:t>
      </w:r>
      <w:r>
        <w:rPr>
          <w:rFonts w:hint="eastAsia" w:ascii="宋体" w:hAnsi="宋体" w:eastAsia="宋体" w:cs="宋体"/>
          <w:kern w:val="0"/>
          <w:szCs w:val="21"/>
          <w:highlight w:val="none"/>
          <w:lang w:val="en-US" w:eastAsia="zh-CN"/>
        </w:rPr>
        <w:t>21</w:t>
      </w:r>
      <w:r>
        <w:rPr>
          <w:rFonts w:hint="eastAsia" w:ascii="宋体" w:hAnsi="宋体" w:eastAsia="宋体" w:cs="宋体"/>
          <w:kern w:val="0"/>
          <w:szCs w:val="21"/>
          <w:highlight w:val="none"/>
        </w:rPr>
        <w:t>]</w:t>
      </w:r>
      <w:r>
        <w:rPr>
          <w:rFonts w:hint="eastAsia" w:ascii="宋体" w:hAnsi="宋体" w:eastAsia="宋体" w:cs="宋体"/>
          <w:kern w:val="0"/>
          <w:szCs w:val="21"/>
          <w:highlight w:val="none"/>
          <w:lang w:val="en-US" w:eastAsia="zh-CN"/>
        </w:rPr>
        <w:t>70</w:t>
      </w:r>
      <w:r>
        <w:rPr>
          <w:rFonts w:hint="eastAsia" w:ascii="宋体" w:hAnsi="宋体" w:eastAsia="宋体" w:cs="宋体"/>
          <w:kern w:val="0"/>
          <w:szCs w:val="21"/>
          <w:highlight w:val="none"/>
        </w:rPr>
        <w:t>号</w:t>
      </w:r>
      <w:r>
        <w:rPr>
          <w:rFonts w:hint="eastAsia" w:ascii="宋体" w:hAnsi="宋体" w:eastAsia="宋体" w:cs="宋体"/>
          <w:kern w:val="0"/>
          <w:szCs w:val="21"/>
          <w:highlight w:val="none"/>
          <w:lang w:eastAsia="zh-CN"/>
        </w:rPr>
        <w:t>”完成批复。</w:t>
      </w:r>
      <w:r>
        <w:rPr>
          <w:rFonts w:hint="eastAsia" w:ascii="宋体" w:hAnsi="宋体" w:eastAsia="宋体" w:cs="宋体"/>
          <w:kern w:val="0"/>
          <w:szCs w:val="21"/>
          <w:highlight w:val="none"/>
        </w:rPr>
        <w:t>招标人为</w:t>
      </w:r>
      <w:r>
        <w:rPr>
          <w:rFonts w:hint="eastAsia" w:ascii="宋体" w:hAnsi="宋体" w:eastAsia="宋体" w:cs="宋体"/>
          <w:sz w:val="21"/>
          <w:szCs w:val="21"/>
        </w:rPr>
        <w:t>白城市洮北区公路建设办公室</w:t>
      </w: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rPr>
        <w:t>建设资金来源为</w:t>
      </w:r>
      <w:r>
        <w:rPr>
          <w:rFonts w:hint="eastAsia" w:ascii="宋体" w:hAnsi="宋体" w:eastAsia="宋体" w:cs="宋体"/>
          <w:kern w:val="0"/>
          <w:szCs w:val="21"/>
          <w:highlight w:val="none"/>
          <w:lang w:eastAsia="zh-CN"/>
        </w:rPr>
        <w:t>国省补贴资金和涉农整合资金解决</w:t>
      </w:r>
      <w:r>
        <w:rPr>
          <w:rFonts w:hint="eastAsia" w:ascii="宋体" w:hAnsi="宋体" w:eastAsia="宋体" w:cs="宋体"/>
          <w:kern w:val="0"/>
          <w:szCs w:val="21"/>
          <w:highlight w:val="none"/>
        </w:rPr>
        <w:t>。项目已具备招标条件，现对该项目的施</w:t>
      </w:r>
      <w:r>
        <w:rPr>
          <w:rFonts w:hint="eastAsia" w:ascii="宋体" w:hAnsi="宋体" w:eastAsia="宋体" w:cs="宋体"/>
          <w:kern w:val="0"/>
          <w:szCs w:val="21"/>
        </w:rPr>
        <w:t>工实行公开招标。</w:t>
      </w:r>
    </w:p>
    <w:p>
      <w:pPr>
        <w:pStyle w:val="19"/>
        <w:tabs>
          <w:tab w:val="left" w:pos="426"/>
        </w:tabs>
        <w:spacing w:line="276" w:lineRule="auto"/>
        <w:jc w:val="left"/>
        <w:outlineLvl w:val="2"/>
        <w:rPr>
          <w:rFonts w:ascii="黑体" w:hAnsi="黑体" w:eastAsia="黑体"/>
          <w:b w:val="0"/>
        </w:rPr>
      </w:pPr>
      <w:r>
        <w:rPr>
          <w:rFonts w:ascii="黑体" w:hAnsi="黑体" w:eastAsia="黑体"/>
          <w:b w:val="0"/>
        </w:rPr>
        <w:t>2.</w:t>
      </w:r>
      <w:r>
        <w:rPr>
          <w:rFonts w:hint="eastAsia" w:ascii="黑体" w:hAnsi="黑体" w:eastAsia="黑体"/>
          <w:b w:val="0"/>
        </w:rPr>
        <w:t>项目概况与招标范围</w:t>
      </w:r>
      <w:bookmarkEnd w:id="6"/>
      <w:bookmarkEnd w:id="7"/>
    </w:p>
    <w:bookmarkEnd w:id="1"/>
    <w:bookmarkEnd w:id="2"/>
    <w:bookmarkEnd w:id="3"/>
    <w:bookmarkEnd w:id="4"/>
    <w:bookmarkEnd w:id="5"/>
    <w:p>
      <w:pPr>
        <w:spacing w:line="360" w:lineRule="exact"/>
        <w:ind w:firstLine="413" w:firstLineChars="196"/>
        <w:rPr>
          <w:b/>
          <w:szCs w:val="21"/>
        </w:rPr>
      </w:pPr>
      <w:r>
        <w:rPr>
          <w:b/>
          <w:szCs w:val="21"/>
        </w:rPr>
        <w:t>2.</w:t>
      </w:r>
      <w:r>
        <w:rPr>
          <w:rFonts w:hint="eastAsia"/>
          <w:b/>
          <w:szCs w:val="21"/>
        </w:rPr>
        <w:t>1</w:t>
      </w:r>
      <w:r>
        <w:rPr>
          <w:b/>
          <w:szCs w:val="21"/>
        </w:rPr>
        <w:t>招标范围</w:t>
      </w:r>
    </w:p>
    <w:p>
      <w:pPr>
        <w:snapToGrid w:val="0"/>
        <w:spacing w:line="360" w:lineRule="exact"/>
        <w:ind w:firstLine="420" w:firstLineChars="200"/>
        <w:rPr>
          <w:rFonts w:hint="eastAsia" w:eastAsia="黑体"/>
          <w:szCs w:val="21"/>
        </w:rPr>
      </w:pPr>
      <w:r>
        <w:rPr>
          <w:szCs w:val="21"/>
        </w:rPr>
        <w:t>本次招标划分</w:t>
      </w:r>
      <w:r>
        <w:rPr>
          <w:rFonts w:hint="eastAsia"/>
          <w:szCs w:val="21"/>
          <w:lang w:val="en-US" w:eastAsia="zh-CN"/>
        </w:rPr>
        <w:t>3</w:t>
      </w:r>
      <w:r>
        <w:rPr>
          <w:szCs w:val="21"/>
        </w:rPr>
        <w:t>个标段</w:t>
      </w:r>
      <w:r>
        <w:rPr>
          <w:rFonts w:hint="eastAsia"/>
          <w:szCs w:val="21"/>
        </w:rPr>
        <w:t>：</w:t>
      </w:r>
    </w:p>
    <w:tbl>
      <w:tblPr>
        <w:tblStyle w:val="10"/>
        <w:tblW w:w="96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2297"/>
        <w:gridCol w:w="1289"/>
        <w:gridCol w:w="3644"/>
        <w:gridCol w:w="1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774" w:type="dxa"/>
            <w:noWrap w:val="0"/>
            <w:vAlign w:val="center"/>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标段</w:t>
            </w:r>
          </w:p>
        </w:tc>
        <w:tc>
          <w:tcPr>
            <w:tcW w:w="2297" w:type="dxa"/>
            <w:noWrap w:val="0"/>
            <w:vAlign w:val="center"/>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lang w:eastAsia="zh-CN"/>
              </w:rPr>
              <w:t>位置或</w:t>
            </w:r>
            <w:r>
              <w:rPr>
                <w:rFonts w:hint="eastAsia" w:ascii="宋体" w:hAnsi="宋体" w:eastAsia="宋体" w:cs="宋体"/>
                <w:b/>
                <w:sz w:val="21"/>
                <w:szCs w:val="21"/>
              </w:rPr>
              <w:t>名称</w:t>
            </w:r>
          </w:p>
        </w:tc>
        <w:tc>
          <w:tcPr>
            <w:tcW w:w="1289" w:type="dxa"/>
            <w:noWrap w:val="0"/>
            <w:vAlign w:val="center"/>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路线长度</w:t>
            </w:r>
          </w:p>
        </w:tc>
        <w:tc>
          <w:tcPr>
            <w:tcW w:w="3644" w:type="dxa"/>
            <w:noWrap w:val="0"/>
            <w:vAlign w:val="center"/>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技术指标</w:t>
            </w:r>
          </w:p>
        </w:tc>
        <w:tc>
          <w:tcPr>
            <w:tcW w:w="1598" w:type="dxa"/>
            <w:noWrap w:val="0"/>
            <w:vAlign w:val="center"/>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主要工程内容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74" w:type="dxa"/>
            <w:noWrap w:val="0"/>
            <w:vAlign w:val="center"/>
          </w:tcPr>
          <w:p>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01</w:t>
            </w:r>
          </w:p>
        </w:tc>
        <w:tc>
          <w:tcPr>
            <w:tcW w:w="2297" w:type="dxa"/>
            <w:noWrap w:val="0"/>
            <w:vAlign w:val="center"/>
          </w:tcPr>
          <w:p>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洮河镇、东胜乡、到保镇</w:t>
            </w:r>
          </w:p>
        </w:tc>
        <w:tc>
          <w:tcPr>
            <w:tcW w:w="1289" w:type="dxa"/>
            <w:noWrap w:val="0"/>
            <w:vAlign w:val="center"/>
          </w:tcPr>
          <w:p>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10.425km</w:t>
            </w:r>
          </w:p>
        </w:tc>
        <w:tc>
          <w:tcPr>
            <w:tcW w:w="3644" w:type="dxa"/>
            <w:vMerge w:val="restart"/>
            <w:noWrap w:val="0"/>
            <w:vAlign w:val="center"/>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四级公路，设计行车速度</w:t>
            </w:r>
            <w:r>
              <w:rPr>
                <w:rFonts w:hint="eastAsia" w:ascii="宋体" w:hAnsi="宋体" w:eastAsia="宋体" w:cs="宋体"/>
                <w:sz w:val="21"/>
                <w:szCs w:val="21"/>
                <w:lang w:val="en-US" w:eastAsia="zh-CN"/>
              </w:rPr>
              <w:t>20公里/小时</w:t>
            </w:r>
            <w:bookmarkStart w:id="30" w:name="_GoBack"/>
            <w:bookmarkEnd w:id="30"/>
          </w:p>
        </w:tc>
        <w:tc>
          <w:tcPr>
            <w:tcW w:w="1598" w:type="dxa"/>
            <w:vMerge w:val="restart"/>
            <w:noWrap w:val="0"/>
            <w:vAlign w:val="center"/>
          </w:tcPr>
          <w:p>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路基、水泥混凝土路面及附属工程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74" w:type="dxa"/>
            <w:noWrap w:val="0"/>
            <w:vAlign w:val="center"/>
          </w:tcPr>
          <w:p>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02</w:t>
            </w:r>
          </w:p>
        </w:tc>
        <w:tc>
          <w:tcPr>
            <w:tcW w:w="2297" w:type="dxa"/>
            <w:noWrap w:val="0"/>
            <w:vAlign w:val="center"/>
          </w:tcPr>
          <w:p>
            <w:pPr>
              <w:spacing w:line="360" w:lineRule="auto"/>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金祥乡</w:t>
            </w:r>
          </w:p>
        </w:tc>
        <w:tc>
          <w:tcPr>
            <w:tcW w:w="1289" w:type="dxa"/>
            <w:noWrap w:val="0"/>
            <w:vAlign w:val="center"/>
          </w:tcPr>
          <w:p>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6.849km</w:t>
            </w:r>
          </w:p>
        </w:tc>
        <w:tc>
          <w:tcPr>
            <w:tcW w:w="3644" w:type="dxa"/>
            <w:vMerge w:val="continue"/>
            <w:noWrap w:val="0"/>
            <w:vAlign w:val="center"/>
          </w:tcPr>
          <w:p>
            <w:pPr>
              <w:spacing w:line="360" w:lineRule="auto"/>
              <w:rPr>
                <w:rFonts w:hint="eastAsia" w:ascii="宋体" w:hAnsi="宋体" w:eastAsia="宋体" w:cs="宋体"/>
                <w:sz w:val="21"/>
                <w:szCs w:val="21"/>
                <w:highlight w:val="none"/>
                <w:lang w:val="en-US" w:eastAsia="zh-CN"/>
              </w:rPr>
            </w:pPr>
          </w:p>
        </w:tc>
        <w:tc>
          <w:tcPr>
            <w:tcW w:w="1598" w:type="dxa"/>
            <w:vMerge w:val="continue"/>
            <w:noWrap w:val="0"/>
            <w:vAlign w:val="center"/>
          </w:tcPr>
          <w:p>
            <w:pPr>
              <w:spacing w:line="360" w:lineRule="auto"/>
              <w:jc w:val="center"/>
              <w:rPr>
                <w:rFonts w:hint="eastAsia" w:ascii="宋体" w:hAnsi="宋体" w:eastAsia="宋体" w:cs="宋体"/>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774" w:type="dxa"/>
            <w:noWrap w:val="0"/>
            <w:vAlign w:val="center"/>
          </w:tcPr>
          <w:p>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03</w:t>
            </w:r>
          </w:p>
        </w:tc>
        <w:tc>
          <w:tcPr>
            <w:tcW w:w="2297" w:type="dxa"/>
            <w:noWrap w:val="0"/>
            <w:vAlign w:val="center"/>
          </w:tcPr>
          <w:p>
            <w:pPr>
              <w:spacing w:line="360" w:lineRule="auto"/>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东胜乡、平安镇、青山镇、平台镇</w:t>
            </w:r>
          </w:p>
        </w:tc>
        <w:tc>
          <w:tcPr>
            <w:tcW w:w="1289" w:type="dxa"/>
            <w:noWrap w:val="0"/>
            <w:vAlign w:val="center"/>
          </w:tcPr>
          <w:p>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9.25km</w:t>
            </w:r>
          </w:p>
        </w:tc>
        <w:tc>
          <w:tcPr>
            <w:tcW w:w="3644" w:type="dxa"/>
            <w:vMerge w:val="continue"/>
            <w:noWrap w:val="0"/>
            <w:vAlign w:val="center"/>
          </w:tcPr>
          <w:p>
            <w:pPr>
              <w:spacing w:line="360" w:lineRule="auto"/>
              <w:rPr>
                <w:rFonts w:hint="eastAsia" w:ascii="宋体" w:hAnsi="宋体" w:eastAsia="宋体" w:cs="宋体"/>
                <w:sz w:val="21"/>
                <w:szCs w:val="21"/>
                <w:highlight w:val="none"/>
                <w:lang w:val="en-US" w:eastAsia="zh-CN"/>
              </w:rPr>
            </w:pPr>
          </w:p>
        </w:tc>
        <w:tc>
          <w:tcPr>
            <w:tcW w:w="1598" w:type="dxa"/>
            <w:vMerge w:val="continue"/>
            <w:noWrap w:val="0"/>
            <w:vAlign w:val="center"/>
          </w:tcPr>
          <w:p>
            <w:pPr>
              <w:spacing w:line="360" w:lineRule="auto"/>
              <w:jc w:val="center"/>
              <w:rPr>
                <w:rFonts w:hint="eastAsia" w:ascii="宋体" w:hAnsi="宋体" w:eastAsia="宋体" w:cs="宋体"/>
                <w:sz w:val="21"/>
                <w:szCs w:val="21"/>
                <w:highlight w:val="none"/>
                <w:lang w:eastAsia="zh-CN"/>
              </w:rPr>
            </w:pPr>
          </w:p>
        </w:tc>
      </w:tr>
    </w:tbl>
    <w:p>
      <w:pPr>
        <w:pStyle w:val="14"/>
        <w:numPr>
          <w:ilvl w:val="0"/>
          <w:numId w:val="0"/>
        </w:numPr>
        <w:ind w:left="2520" w:leftChars="0"/>
      </w:pPr>
    </w:p>
    <w:p>
      <w:pPr>
        <w:tabs>
          <w:tab w:val="left" w:pos="540"/>
        </w:tabs>
        <w:spacing w:line="340" w:lineRule="exact"/>
        <w:ind w:firstLine="413" w:firstLineChars="196"/>
        <w:rPr>
          <w:b/>
          <w:szCs w:val="21"/>
          <w:u w:val="single"/>
        </w:rPr>
      </w:pPr>
      <w:r>
        <w:rPr>
          <w:b/>
          <w:szCs w:val="21"/>
        </w:rPr>
        <w:t>2.</w:t>
      </w:r>
      <w:r>
        <w:rPr>
          <w:rFonts w:hint="eastAsia"/>
          <w:b/>
          <w:szCs w:val="21"/>
        </w:rPr>
        <w:t>2计划工期：</w:t>
      </w:r>
      <w:r>
        <w:rPr>
          <w:rFonts w:hint="eastAsia" w:ascii="宋体" w:hAnsi="宋体" w:eastAsia="宋体" w:cs="宋体"/>
          <w:b/>
          <w:szCs w:val="21"/>
        </w:rPr>
        <w:t>20</w:t>
      </w:r>
      <w:r>
        <w:rPr>
          <w:rFonts w:hint="eastAsia" w:ascii="宋体" w:hAnsi="宋体" w:eastAsia="宋体" w:cs="宋体"/>
          <w:b/>
          <w:szCs w:val="21"/>
          <w:lang w:val="en-US" w:eastAsia="zh-CN"/>
        </w:rPr>
        <w:t>21</w:t>
      </w:r>
      <w:r>
        <w:rPr>
          <w:rFonts w:hint="eastAsia" w:ascii="宋体" w:hAnsi="宋体" w:eastAsia="宋体" w:cs="宋体"/>
          <w:b/>
          <w:szCs w:val="21"/>
          <w:highlight w:val="none"/>
        </w:rPr>
        <w:t>年</w:t>
      </w:r>
      <w:r>
        <w:rPr>
          <w:rFonts w:hint="eastAsia" w:ascii="宋体" w:hAnsi="宋体" w:eastAsia="宋体" w:cs="宋体"/>
          <w:b/>
          <w:szCs w:val="21"/>
          <w:highlight w:val="none"/>
          <w:lang w:val="en-US" w:eastAsia="zh-CN"/>
        </w:rPr>
        <w:t>08</w:t>
      </w:r>
      <w:r>
        <w:rPr>
          <w:rFonts w:hint="eastAsia" w:ascii="宋体" w:hAnsi="宋体" w:eastAsia="宋体" w:cs="宋体"/>
          <w:b/>
          <w:szCs w:val="21"/>
          <w:highlight w:val="none"/>
        </w:rPr>
        <w:t>月</w:t>
      </w:r>
      <w:r>
        <w:rPr>
          <w:rFonts w:hint="eastAsia" w:ascii="宋体" w:hAnsi="宋体" w:eastAsia="宋体" w:cs="宋体"/>
          <w:b/>
          <w:szCs w:val="21"/>
          <w:highlight w:val="none"/>
          <w:lang w:val="en-US" w:eastAsia="zh-CN"/>
        </w:rPr>
        <w:t>27</w:t>
      </w:r>
      <w:r>
        <w:rPr>
          <w:rFonts w:hint="eastAsia" w:ascii="宋体" w:hAnsi="宋体" w:eastAsia="宋体" w:cs="宋体"/>
          <w:b/>
          <w:szCs w:val="21"/>
          <w:highlight w:val="none"/>
        </w:rPr>
        <w:t>日至</w:t>
      </w:r>
      <w:r>
        <w:rPr>
          <w:rFonts w:hint="eastAsia" w:ascii="宋体" w:hAnsi="宋体" w:eastAsia="宋体" w:cs="宋体"/>
          <w:b/>
          <w:szCs w:val="21"/>
          <w:highlight w:val="none"/>
          <w:lang w:val="en-US" w:eastAsia="zh-CN"/>
        </w:rPr>
        <w:t>2021</w:t>
      </w:r>
      <w:r>
        <w:rPr>
          <w:rFonts w:hint="eastAsia" w:ascii="宋体" w:hAnsi="宋体" w:eastAsia="宋体" w:cs="宋体"/>
          <w:b/>
          <w:szCs w:val="21"/>
          <w:highlight w:val="none"/>
        </w:rPr>
        <w:t>年</w:t>
      </w:r>
      <w:r>
        <w:rPr>
          <w:rFonts w:hint="eastAsia" w:ascii="宋体" w:hAnsi="宋体" w:eastAsia="宋体" w:cs="宋体"/>
          <w:b/>
          <w:szCs w:val="21"/>
          <w:highlight w:val="none"/>
          <w:lang w:val="en-US" w:eastAsia="zh-CN"/>
        </w:rPr>
        <w:t>11</w:t>
      </w:r>
      <w:r>
        <w:rPr>
          <w:rFonts w:hint="eastAsia" w:ascii="宋体" w:hAnsi="宋体" w:eastAsia="宋体" w:cs="宋体"/>
          <w:b/>
          <w:szCs w:val="21"/>
          <w:highlight w:val="none"/>
        </w:rPr>
        <w:t>月</w:t>
      </w:r>
      <w:r>
        <w:rPr>
          <w:rFonts w:hint="eastAsia" w:ascii="宋体" w:hAnsi="宋体" w:eastAsia="宋体" w:cs="宋体"/>
          <w:b/>
          <w:szCs w:val="21"/>
          <w:highlight w:val="none"/>
          <w:lang w:val="en-US" w:eastAsia="zh-CN"/>
        </w:rPr>
        <w:t>30</w:t>
      </w:r>
      <w:r>
        <w:rPr>
          <w:rFonts w:hint="eastAsia" w:ascii="宋体" w:hAnsi="宋体" w:eastAsia="宋体" w:cs="宋体"/>
          <w:b/>
          <w:szCs w:val="21"/>
          <w:highlight w:val="none"/>
        </w:rPr>
        <w:t>日，</w:t>
      </w:r>
      <w:r>
        <w:rPr>
          <w:rFonts w:hint="eastAsia" w:ascii="宋体" w:hAnsi="宋体" w:eastAsia="宋体" w:cs="宋体"/>
          <w:b/>
          <w:szCs w:val="21"/>
          <w:highlight w:val="none"/>
          <w:lang w:val="en-US" w:eastAsia="zh-CN"/>
        </w:rPr>
        <w:t>96</w:t>
      </w:r>
      <w:r>
        <w:rPr>
          <w:rFonts w:hint="eastAsia" w:ascii="宋体" w:hAnsi="宋体" w:eastAsia="宋体" w:cs="宋体"/>
          <w:b/>
          <w:szCs w:val="21"/>
          <w:highlight w:val="none"/>
        </w:rPr>
        <w:t>日历天。</w:t>
      </w:r>
    </w:p>
    <w:p>
      <w:pPr>
        <w:autoSpaceDE w:val="0"/>
        <w:autoSpaceDN w:val="0"/>
        <w:adjustRightInd w:val="0"/>
        <w:jc w:val="left"/>
        <w:outlineLvl w:val="0"/>
        <w:rPr>
          <w:rFonts w:hint="eastAsia" w:ascii="宋体" w:hAnsi="宋体" w:eastAsia="宋体" w:cs="宋体"/>
          <w:b/>
          <w:bCs/>
          <w:kern w:val="0"/>
          <w:szCs w:val="21"/>
          <w:lang w:val="zh-CN"/>
        </w:rPr>
      </w:pPr>
      <w:bookmarkStart w:id="8" w:name="_Toc6567705"/>
      <w:bookmarkStart w:id="9" w:name="_Toc474500997"/>
      <w:r>
        <w:rPr>
          <w:rFonts w:hint="eastAsia" w:ascii="宋体" w:hAnsi="宋体" w:eastAsia="宋体" w:cs="宋体"/>
          <w:b/>
          <w:bCs/>
          <w:kern w:val="0"/>
          <w:szCs w:val="21"/>
          <w:lang w:val="zh-CN"/>
        </w:rPr>
        <w:t>3.投标人资格要求</w:t>
      </w:r>
      <w:bookmarkEnd w:id="8"/>
      <w:bookmarkEnd w:id="9"/>
    </w:p>
    <w:p>
      <w:pPr>
        <w:pStyle w:val="8"/>
        <w:spacing w:line="340" w:lineRule="exact"/>
        <w:ind w:left="27" w:leftChars="13" w:firstLine="434" w:firstLineChars="206"/>
        <w:rPr>
          <w:rFonts w:hint="eastAsia" w:ascii="宋体" w:hAnsi="宋体" w:eastAsia="宋体" w:cs="宋体"/>
          <w:b/>
          <w:szCs w:val="21"/>
          <w:highlight w:val="yellow"/>
        </w:rPr>
      </w:pPr>
      <w:r>
        <w:rPr>
          <w:rFonts w:hint="eastAsia" w:ascii="宋体" w:hAnsi="宋体" w:eastAsia="宋体" w:cs="宋体"/>
          <w:b/>
          <w:szCs w:val="21"/>
          <w:lang w:val="zh-CN"/>
        </w:rPr>
        <w:t>3.1</w:t>
      </w:r>
      <w:r>
        <w:rPr>
          <w:rFonts w:hint="eastAsia" w:ascii="宋体" w:hAnsi="宋体" w:eastAsia="宋体" w:cs="宋体"/>
          <w:szCs w:val="21"/>
        </w:rPr>
        <w:t>本次招标要求潜在投标人应具有独立法人资格，持有工商行政管理部门核发的企业法人营业执照，</w:t>
      </w:r>
      <w:r>
        <w:rPr>
          <w:rFonts w:hint="eastAsia" w:ascii="宋体" w:hAnsi="宋体" w:eastAsia="宋体" w:cs="宋体"/>
          <w:b/>
          <w:szCs w:val="21"/>
        </w:rPr>
        <w:t>具备建设行政主管部门颁发的公路工程施工总承包三级以上（含）资质，</w:t>
      </w:r>
      <w:r>
        <w:rPr>
          <w:rFonts w:hint="eastAsia" w:ascii="宋体" w:hAnsi="宋体" w:eastAsia="宋体" w:cs="宋体"/>
          <w:szCs w:val="21"/>
        </w:rPr>
        <w:t>在人员、设备、资金等方面具备相应的施工能力</w:t>
      </w:r>
      <w:r>
        <w:rPr>
          <w:rFonts w:hint="eastAsia" w:ascii="宋体" w:hAnsi="宋体" w:eastAsia="宋体" w:cs="宋体"/>
          <w:b/>
          <w:szCs w:val="21"/>
          <w:highlight w:val="none"/>
        </w:rPr>
        <w:t>；</w:t>
      </w:r>
      <w:r>
        <w:rPr>
          <w:rFonts w:hint="eastAsia" w:ascii="宋体" w:hAnsi="宋体" w:eastAsia="宋体" w:cs="宋体"/>
          <w:b/>
          <w:szCs w:val="21"/>
        </w:rPr>
        <w:t>近5年业绩要求</w:t>
      </w:r>
      <w:r>
        <w:rPr>
          <w:rFonts w:hint="eastAsia" w:ascii="宋体" w:hAnsi="宋体" w:eastAsia="宋体" w:cs="宋体"/>
          <w:b/>
          <w:szCs w:val="21"/>
          <w:highlight w:val="none"/>
        </w:rPr>
        <w:t>（201</w:t>
      </w:r>
      <w:r>
        <w:rPr>
          <w:rFonts w:hint="eastAsia" w:ascii="宋体" w:hAnsi="宋体" w:eastAsia="宋体" w:cs="宋体"/>
          <w:b/>
          <w:szCs w:val="21"/>
          <w:highlight w:val="none"/>
          <w:lang w:val="en-US" w:eastAsia="zh-CN"/>
        </w:rPr>
        <w:t>6</w:t>
      </w:r>
      <w:r>
        <w:rPr>
          <w:rFonts w:hint="eastAsia" w:ascii="宋体" w:hAnsi="宋体" w:eastAsia="宋体" w:cs="宋体"/>
          <w:b/>
          <w:szCs w:val="21"/>
          <w:highlight w:val="none"/>
        </w:rPr>
        <w:t>年1月1日至今）</w:t>
      </w:r>
      <w:r>
        <w:rPr>
          <w:rFonts w:hint="eastAsia" w:ascii="宋体" w:hAnsi="宋体" w:eastAsia="宋体" w:cs="宋体"/>
          <w:szCs w:val="21"/>
        </w:rPr>
        <w:t>满足以下条件：</w:t>
      </w:r>
    </w:p>
    <w:p>
      <w:pPr>
        <w:spacing w:line="340" w:lineRule="exact"/>
        <w:ind w:left="27" w:leftChars="13" w:firstLine="434" w:firstLineChars="206"/>
        <w:rPr>
          <w:rFonts w:hint="eastAsia" w:ascii="宋体" w:hAnsi="宋体" w:eastAsia="宋体" w:cs="宋体"/>
          <w:b/>
          <w:bCs/>
          <w:szCs w:val="21"/>
        </w:rPr>
      </w:pPr>
      <w:r>
        <w:rPr>
          <w:rFonts w:hint="eastAsia" w:ascii="宋体" w:hAnsi="宋体" w:eastAsia="宋体" w:cs="宋体"/>
          <w:b/>
          <w:szCs w:val="21"/>
        </w:rPr>
        <w:t>累计完成过不少于</w:t>
      </w:r>
      <w:r>
        <w:rPr>
          <w:rFonts w:hint="eastAsia" w:ascii="宋体" w:hAnsi="宋体" w:eastAsia="宋体" w:cs="宋体"/>
          <w:b/>
          <w:szCs w:val="21"/>
          <w:lang w:val="en-US" w:eastAsia="zh-CN"/>
        </w:rPr>
        <w:t>5</w:t>
      </w:r>
      <w:r>
        <w:rPr>
          <w:rFonts w:hint="eastAsia" w:ascii="宋体" w:hAnsi="宋体" w:eastAsia="宋体" w:cs="宋体"/>
          <w:b/>
          <w:bCs/>
          <w:szCs w:val="21"/>
        </w:rPr>
        <w:t>公里</w:t>
      </w:r>
      <w:r>
        <w:rPr>
          <w:rFonts w:hint="eastAsia" w:ascii="宋体" w:hAnsi="宋体" w:eastAsia="宋体" w:cs="宋体"/>
          <w:b/>
          <w:szCs w:val="21"/>
          <w:lang w:eastAsia="zh-CN"/>
        </w:rPr>
        <w:t>四级及以上公路工程施工业绩（每项施工业绩的施工内容至少应同时包括路基和水泥</w:t>
      </w:r>
      <w:r>
        <w:rPr>
          <w:rFonts w:hint="eastAsia" w:ascii="宋体" w:hAnsi="宋体" w:eastAsia="宋体" w:cs="宋体"/>
          <w:b/>
          <w:szCs w:val="21"/>
        </w:rPr>
        <w:t>混凝土路面工程</w:t>
      </w:r>
      <w:r>
        <w:rPr>
          <w:rFonts w:hint="eastAsia" w:ascii="宋体" w:hAnsi="宋体" w:eastAsia="宋体" w:cs="宋体"/>
          <w:b/>
          <w:szCs w:val="21"/>
          <w:lang w:eastAsia="zh-CN"/>
        </w:rPr>
        <w:t>）</w:t>
      </w:r>
      <w:r>
        <w:rPr>
          <w:rFonts w:hint="eastAsia" w:ascii="宋体" w:hAnsi="宋体" w:eastAsia="宋体" w:cs="宋体"/>
          <w:b/>
          <w:szCs w:val="21"/>
        </w:rPr>
        <w:t>；</w:t>
      </w:r>
      <w:r>
        <w:rPr>
          <w:rFonts w:hint="eastAsia" w:ascii="宋体" w:hAnsi="宋体" w:eastAsia="宋体" w:cs="宋体"/>
          <w:b/>
          <w:bCs/>
          <w:szCs w:val="21"/>
        </w:rPr>
        <w:t>投标人业绩以投标文件中所填报业绩证明材料作为评审依据。</w:t>
      </w:r>
    </w:p>
    <w:p>
      <w:pPr>
        <w:spacing w:line="340" w:lineRule="exact"/>
        <w:ind w:left="27" w:leftChars="13" w:firstLine="434" w:firstLineChars="206"/>
        <w:rPr>
          <w:rFonts w:hint="eastAsia" w:ascii="宋体" w:hAnsi="宋体" w:eastAsia="宋体" w:cs="宋体"/>
          <w:b/>
          <w:szCs w:val="21"/>
          <w:lang w:eastAsia="zh-CN"/>
        </w:rPr>
      </w:pPr>
      <w:r>
        <w:rPr>
          <w:rFonts w:hint="eastAsia" w:ascii="宋体" w:hAnsi="宋体" w:eastAsia="宋体" w:cs="宋体"/>
          <w:b/>
          <w:szCs w:val="21"/>
          <w:lang w:eastAsia="zh-CN"/>
        </w:rPr>
        <w:t>高速公路（或一级公路）全幅按2倍长度计算，半幅按1倍长度计算。</w:t>
      </w:r>
    </w:p>
    <w:p>
      <w:pPr>
        <w:spacing w:line="340" w:lineRule="exact"/>
        <w:ind w:left="27" w:leftChars="13" w:firstLine="434" w:firstLineChars="206"/>
        <w:rPr>
          <w:rFonts w:hint="eastAsia" w:ascii="宋体" w:hAnsi="宋体" w:eastAsia="宋体" w:cs="宋体"/>
          <w:b/>
          <w:szCs w:val="21"/>
          <w:lang w:eastAsia="zh-CN"/>
        </w:rPr>
      </w:pPr>
      <w:r>
        <w:rPr>
          <w:rFonts w:hint="eastAsia" w:ascii="宋体" w:hAnsi="宋体" w:eastAsia="宋体" w:cs="宋体"/>
          <w:b/>
          <w:szCs w:val="21"/>
          <w:lang w:eastAsia="zh-CN"/>
        </w:rPr>
        <w:t>所有相关人员的建造师注册证书和安全生产考核合格证书评审时进行网上核查，并以核查后的信息为准。</w:t>
      </w:r>
    </w:p>
    <w:p>
      <w:pPr>
        <w:autoSpaceDE w:val="0"/>
        <w:autoSpaceDN w:val="0"/>
        <w:adjustRightInd w:val="0"/>
        <w:ind w:firstLine="403" w:firstLineChars="192"/>
        <w:jc w:val="left"/>
        <w:rPr>
          <w:rFonts w:hint="eastAsia" w:ascii="宋体" w:hAnsi="宋体" w:eastAsia="宋体" w:cs="宋体"/>
          <w:kern w:val="0"/>
          <w:szCs w:val="21"/>
          <w:lang w:val="zh-CN"/>
        </w:rPr>
      </w:pPr>
      <w:r>
        <w:rPr>
          <w:rFonts w:hint="eastAsia" w:ascii="宋体" w:hAnsi="宋体" w:eastAsia="宋体" w:cs="宋体"/>
          <w:kern w:val="0"/>
          <w:szCs w:val="21"/>
          <w:lang w:val="zh-CN"/>
        </w:rPr>
        <w:t>3.2 本次招标不接受联合体投标。</w:t>
      </w:r>
    </w:p>
    <w:p>
      <w:pPr>
        <w:pStyle w:val="8"/>
        <w:spacing w:line="276" w:lineRule="auto"/>
        <w:ind w:firstLine="432" w:firstLineChars="206"/>
        <w:rPr>
          <w:rFonts w:hint="eastAsia" w:ascii="宋体" w:hAnsi="宋体" w:eastAsia="宋体" w:cs="宋体"/>
          <w:kern w:val="0"/>
          <w:szCs w:val="21"/>
          <w:lang w:val="zh-CN"/>
        </w:rPr>
      </w:pPr>
      <w:r>
        <w:rPr>
          <w:rFonts w:hint="eastAsia" w:ascii="宋体" w:hAnsi="宋体" w:eastAsia="宋体" w:cs="宋体"/>
          <w:kern w:val="0"/>
          <w:szCs w:val="21"/>
          <w:lang w:val="zh-CN"/>
        </w:rPr>
        <w:t>3.</w:t>
      </w:r>
      <w:r>
        <w:rPr>
          <w:rFonts w:hint="eastAsia" w:ascii="宋体" w:hAnsi="宋体" w:eastAsia="宋体" w:cs="宋体"/>
          <w:kern w:val="0"/>
          <w:szCs w:val="21"/>
          <w:lang w:val="en-US" w:eastAsia="zh-CN"/>
        </w:rPr>
        <w:t xml:space="preserve">3 </w:t>
      </w:r>
      <w:r>
        <w:rPr>
          <w:rFonts w:hint="eastAsia" w:ascii="宋体" w:hAnsi="宋体" w:eastAsia="宋体" w:cs="宋体"/>
          <w:kern w:val="0"/>
          <w:szCs w:val="21"/>
          <w:lang w:val="zh-CN"/>
        </w:rPr>
        <w:t>与招标人存在利害关系可能影响招标公正性的单位，不得参加投标。单位负责人为同一人或者存在控股、管理关系的不同单位，不得参加同一标段投标，</w:t>
      </w:r>
      <w:r>
        <w:rPr>
          <w:rFonts w:hint="eastAsia" w:ascii="宋体" w:hAnsi="宋体" w:eastAsia="宋体" w:cs="宋体"/>
          <w:b/>
          <w:kern w:val="0"/>
          <w:szCs w:val="21"/>
          <w:lang w:val="zh-CN"/>
        </w:rPr>
        <w:t>否则，相关投标均无效</w:t>
      </w:r>
      <w:r>
        <w:rPr>
          <w:rFonts w:hint="eastAsia" w:ascii="宋体" w:hAnsi="宋体" w:eastAsia="宋体" w:cs="宋体"/>
          <w:kern w:val="0"/>
          <w:szCs w:val="21"/>
          <w:lang w:val="zh-CN"/>
        </w:rPr>
        <w:t>。</w:t>
      </w:r>
    </w:p>
    <w:p>
      <w:pPr>
        <w:pStyle w:val="8"/>
        <w:spacing w:line="276" w:lineRule="auto"/>
        <w:ind w:firstLine="432" w:firstLineChars="206"/>
        <w:rPr>
          <w:rFonts w:hint="eastAsia" w:ascii="宋体" w:hAnsi="宋体" w:eastAsia="宋体" w:cs="宋体"/>
          <w:kern w:val="0"/>
          <w:szCs w:val="21"/>
          <w:lang w:val="zh-CN"/>
        </w:rPr>
      </w:pPr>
      <w:r>
        <w:rPr>
          <w:rFonts w:hint="eastAsia" w:ascii="宋体" w:hAnsi="宋体" w:eastAsia="宋体" w:cs="宋体"/>
          <w:bCs/>
          <w:sz w:val="21"/>
          <w:szCs w:val="21"/>
          <w:highlight w:val="none"/>
          <w:lang w:val="zh-CN"/>
        </w:rPr>
        <w:t>3.</w:t>
      </w:r>
      <w:r>
        <w:rPr>
          <w:rFonts w:hint="eastAsia" w:ascii="宋体" w:hAnsi="宋体" w:eastAsia="宋体" w:cs="宋体"/>
          <w:bCs/>
          <w:sz w:val="21"/>
          <w:szCs w:val="21"/>
          <w:highlight w:val="none"/>
          <w:lang w:val="en-US" w:eastAsia="zh-CN"/>
        </w:rPr>
        <w:t xml:space="preserve">4 </w:t>
      </w:r>
      <w:r>
        <w:rPr>
          <w:rFonts w:hint="eastAsia" w:ascii="宋体" w:hAnsi="宋体" w:eastAsia="宋体" w:cs="宋体"/>
          <w:bCs/>
          <w:sz w:val="21"/>
          <w:szCs w:val="21"/>
          <w:highlight w:val="none"/>
          <w:lang w:val="zh-CN"/>
        </w:rPr>
        <w:t>潜在投标人只可对其中</w:t>
      </w:r>
      <w:r>
        <w:rPr>
          <w:rFonts w:hint="eastAsia" w:ascii="宋体" w:hAnsi="宋体" w:eastAsia="宋体" w:cs="宋体"/>
          <w:bCs/>
          <w:sz w:val="21"/>
          <w:szCs w:val="21"/>
          <w:highlight w:val="none"/>
          <w:lang w:val="en-US" w:eastAsia="zh-CN"/>
        </w:rPr>
        <w:t>1</w:t>
      </w:r>
      <w:r>
        <w:rPr>
          <w:rFonts w:hint="eastAsia" w:ascii="宋体" w:hAnsi="宋体" w:eastAsia="宋体" w:cs="宋体"/>
          <w:bCs/>
          <w:sz w:val="21"/>
          <w:szCs w:val="21"/>
          <w:highlight w:val="none"/>
          <w:lang w:val="zh-CN"/>
        </w:rPr>
        <w:t>个标段投标。</w:t>
      </w:r>
    </w:p>
    <w:p>
      <w:pPr>
        <w:autoSpaceDE w:val="0"/>
        <w:autoSpaceDN w:val="0"/>
        <w:adjustRightInd w:val="0"/>
        <w:ind w:firstLine="420" w:firstLineChars="200"/>
        <w:jc w:val="left"/>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zh-CN"/>
        </w:rPr>
        <w:t>3.</w:t>
      </w:r>
      <w:r>
        <w:rPr>
          <w:rFonts w:hint="eastAsia" w:ascii="宋体" w:hAnsi="宋体" w:eastAsia="宋体" w:cs="宋体"/>
          <w:kern w:val="0"/>
          <w:szCs w:val="21"/>
          <w:highlight w:val="none"/>
          <w:lang w:val="en-US" w:eastAsia="zh-CN"/>
        </w:rPr>
        <w:t xml:space="preserve">5 </w:t>
      </w:r>
      <w:r>
        <w:rPr>
          <w:rFonts w:hint="eastAsia" w:ascii="宋体" w:hAnsi="宋体" w:eastAsia="宋体" w:cs="宋体"/>
          <w:kern w:val="0"/>
          <w:szCs w:val="21"/>
          <w:highlight w:val="none"/>
        </w:rPr>
        <w:t>在“信用中国”网站(http://www.creditchina.gov.cn/)中被列入失信被执行人名单的投标人，不得参加投标，否则，相关投标均无效。</w:t>
      </w:r>
    </w:p>
    <w:p>
      <w:pPr>
        <w:spacing w:line="340" w:lineRule="exact"/>
        <w:ind w:left="27" w:leftChars="13" w:firstLine="434" w:firstLineChars="206"/>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3.</w:t>
      </w:r>
      <w:r>
        <w:rPr>
          <w:rFonts w:hint="eastAsia" w:ascii="宋体" w:hAnsi="宋体" w:eastAsia="宋体" w:cs="宋体"/>
          <w:b/>
          <w:bCs/>
          <w:szCs w:val="21"/>
          <w:highlight w:val="none"/>
          <w:lang w:val="en-US" w:eastAsia="zh-CN"/>
        </w:rPr>
        <w:t>6</w:t>
      </w:r>
      <w:r>
        <w:rPr>
          <w:rFonts w:hint="eastAsia" w:ascii="宋体" w:hAnsi="宋体" w:eastAsia="宋体" w:cs="宋体"/>
          <w:b/>
          <w:bCs/>
          <w:szCs w:val="21"/>
          <w:highlight w:val="none"/>
          <w:lang w:val="zh-CN"/>
        </w:rPr>
        <w:t xml:space="preserve"> 投标人中标后，须严格按照中标人投标文件承诺的主要人员不更换，否则，招标人有权取消中标人的中标资格并终止合同。</w:t>
      </w:r>
    </w:p>
    <w:p>
      <w:pPr>
        <w:autoSpaceDE w:val="0"/>
        <w:autoSpaceDN w:val="0"/>
        <w:adjustRightInd w:val="0"/>
        <w:spacing w:line="276" w:lineRule="auto"/>
        <w:ind w:firstLine="422" w:firstLineChars="200"/>
        <w:jc w:val="left"/>
        <w:rPr>
          <w:rFonts w:hint="eastAsia" w:ascii="宋体" w:hAnsi="宋体" w:eastAsia="宋体" w:cs="宋体"/>
          <w:b/>
          <w:szCs w:val="21"/>
          <w:highlight w:val="none"/>
        </w:rPr>
      </w:pPr>
      <w:bookmarkStart w:id="10" w:name="_Toc474500999"/>
      <w:r>
        <w:rPr>
          <w:rFonts w:hint="eastAsia" w:ascii="宋体" w:hAnsi="宋体" w:eastAsia="宋体" w:cs="宋体"/>
          <w:b/>
          <w:szCs w:val="21"/>
          <w:highlight w:val="none"/>
        </w:rPr>
        <w:t>3.</w:t>
      </w:r>
      <w:r>
        <w:rPr>
          <w:rFonts w:hint="eastAsia" w:ascii="宋体" w:hAnsi="宋体" w:eastAsia="宋体" w:cs="宋体"/>
          <w:b/>
          <w:szCs w:val="21"/>
          <w:highlight w:val="none"/>
          <w:lang w:val="en-US" w:eastAsia="zh-CN"/>
        </w:rPr>
        <w:t xml:space="preserve">7 </w:t>
      </w:r>
      <w:r>
        <w:rPr>
          <w:rFonts w:hint="eastAsia" w:ascii="宋体" w:hAnsi="宋体" w:eastAsia="宋体" w:cs="宋体"/>
          <w:b/>
          <w:szCs w:val="21"/>
          <w:highlight w:val="none"/>
        </w:rPr>
        <w:t>本次施工招标采用资格后审方式的双信封形式技术评分最低标价法。</w:t>
      </w:r>
    </w:p>
    <w:bookmarkEnd w:id="10"/>
    <w:p>
      <w:pPr>
        <w:pStyle w:val="19"/>
        <w:tabs>
          <w:tab w:val="left" w:pos="426"/>
        </w:tabs>
        <w:spacing w:line="360" w:lineRule="exact"/>
        <w:jc w:val="left"/>
        <w:outlineLvl w:val="2"/>
      </w:pPr>
      <w:r>
        <w:rPr>
          <w:rFonts w:ascii="黑体" w:hAnsi="黑体" w:eastAsia="黑体"/>
          <w:b w:val="0"/>
        </w:rPr>
        <w:t xml:space="preserve">4. </w:t>
      </w:r>
      <w:r>
        <w:rPr>
          <w:rFonts w:hint="eastAsia" w:ascii="黑体" w:hAnsi="黑体" w:eastAsia="黑体"/>
          <w:b w:val="0"/>
        </w:rPr>
        <w:t>最低资格条件</w:t>
      </w:r>
      <w:bookmarkStart w:id="11" w:name="_Toc514418862"/>
      <w:bookmarkStart w:id="12" w:name="_Toc444693688"/>
    </w:p>
    <w:p>
      <w:pPr>
        <w:pStyle w:val="4"/>
        <w:spacing w:before="0" w:after="0" w:line="240" w:lineRule="auto"/>
        <w:jc w:val="center"/>
        <w:rPr>
          <w:vertAlign w:val="superscript"/>
        </w:rPr>
      </w:pPr>
      <w:r>
        <w:rPr>
          <w:rFonts w:hint="eastAsia"/>
        </w:rPr>
        <w:t>附录</w:t>
      </w:r>
      <w:r>
        <w:t xml:space="preserve">1 </w:t>
      </w:r>
      <w:r>
        <w:rPr>
          <w:rFonts w:hint="eastAsia"/>
        </w:rPr>
        <w:t>资格审查条件（资质最低要求）</w:t>
      </w:r>
      <w:bookmarkEnd w:id="11"/>
    </w:p>
    <w:tbl>
      <w:tblPr>
        <w:tblStyle w:val="10"/>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7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526" w:type="dxa"/>
            <w:vAlign w:val="center"/>
          </w:tcPr>
          <w:p>
            <w:pPr>
              <w:jc w:val="center"/>
              <w:rPr>
                <w:rFonts w:ascii="宋体"/>
                <w:szCs w:val="21"/>
              </w:rPr>
            </w:pPr>
            <w:r>
              <w:rPr>
                <w:rFonts w:hint="eastAsia" w:ascii="宋体" w:hAnsi="宋体"/>
                <w:szCs w:val="21"/>
              </w:rPr>
              <w:t>标段</w:t>
            </w:r>
          </w:p>
        </w:tc>
        <w:tc>
          <w:tcPr>
            <w:tcW w:w="7760" w:type="dxa"/>
            <w:vAlign w:val="center"/>
          </w:tcPr>
          <w:p>
            <w:pPr>
              <w:ind w:firstLine="420" w:firstLineChars="200"/>
              <w:jc w:val="center"/>
              <w:rPr>
                <w:rFonts w:ascii="宋体"/>
                <w:b/>
                <w:szCs w:val="21"/>
              </w:rPr>
            </w:pPr>
            <w:r>
              <w:rPr>
                <w:rFonts w:hint="eastAsia" w:ascii="宋体" w:hAnsi="宋体"/>
                <w:szCs w:val="21"/>
              </w:rPr>
              <w:t>施工企业资质等级要求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526" w:type="dxa"/>
            <w:vAlign w:val="center"/>
          </w:tcPr>
          <w:p>
            <w:pPr>
              <w:tabs>
                <w:tab w:val="left" w:pos="540"/>
              </w:tabs>
              <w:spacing w:line="400" w:lineRule="exact"/>
              <w:jc w:val="center"/>
              <w:rPr>
                <w:rFonts w:hint="default" w:ascii="宋体" w:hAnsi="宋体" w:eastAsia="宋体"/>
                <w:b/>
                <w:lang w:val="en-US" w:eastAsia="zh-CN"/>
              </w:rPr>
            </w:pPr>
            <w:r>
              <w:rPr>
                <w:rFonts w:hint="eastAsia" w:ascii="宋体" w:hAnsi="宋体"/>
                <w:b/>
              </w:rPr>
              <w:t>01</w:t>
            </w:r>
          </w:p>
        </w:tc>
        <w:tc>
          <w:tcPr>
            <w:tcW w:w="7760" w:type="dxa"/>
            <w:vAlign w:val="center"/>
          </w:tcPr>
          <w:p>
            <w:pPr>
              <w:tabs>
                <w:tab w:val="left" w:pos="540"/>
              </w:tabs>
              <w:spacing w:line="400" w:lineRule="exact"/>
              <w:rPr>
                <w:rFonts w:hint="eastAsia"/>
                <w:szCs w:val="21"/>
              </w:rPr>
            </w:pPr>
            <w:r>
              <w:rPr>
                <w:rFonts w:hint="eastAsia" w:ascii="宋体" w:hAnsi="宋体" w:eastAsia="宋体" w:cs="宋体"/>
                <w:szCs w:val="21"/>
              </w:rPr>
              <w:t>投标人须具备</w:t>
            </w:r>
            <w:r>
              <w:rPr>
                <w:rFonts w:hint="eastAsia" w:ascii="宋体" w:hAnsi="宋体" w:eastAsia="宋体" w:cs="宋体"/>
                <w:szCs w:val="21"/>
                <w:lang w:eastAsia="zh-CN"/>
              </w:rPr>
              <w:t>建设行政</w:t>
            </w:r>
            <w:r>
              <w:rPr>
                <w:rFonts w:hint="eastAsia" w:ascii="宋体" w:hAnsi="宋体" w:eastAsia="宋体" w:cs="宋体"/>
                <w:szCs w:val="21"/>
              </w:rPr>
              <w:t>主管部门颁发的</w:t>
            </w:r>
            <w:r>
              <w:rPr>
                <w:rFonts w:hint="eastAsia" w:ascii="宋体" w:hAnsi="宋体" w:eastAsia="宋体" w:cs="宋体"/>
                <w:b/>
                <w:szCs w:val="21"/>
              </w:rPr>
              <w:t>公路工程施工总承包三级以上（含）资质</w:t>
            </w:r>
            <w:r>
              <w:rPr>
                <w:rFonts w:hint="eastAsia" w:ascii="宋体" w:hAnsi="宋体" w:eastAsia="宋体" w:cs="宋体"/>
                <w:szCs w:val="21"/>
              </w:rPr>
              <w:t>。</w:t>
            </w:r>
          </w:p>
        </w:tc>
      </w:tr>
    </w:tbl>
    <w:p>
      <w:pPr>
        <w:pStyle w:val="4"/>
        <w:spacing w:before="0" w:after="0" w:line="240" w:lineRule="auto"/>
        <w:jc w:val="center"/>
        <w:rPr>
          <w:rFonts w:ascii="黑体" w:hAnsi="黑体" w:eastAsia="黑体"/>
          <w:b w:val="0"/>
          <w:szCs w:val="28"/>
        </w:rPr>
      </w:pPr>
      <w:bookmarkStart w:id="13" w:name="_Toc514418863"/>
      <w:bookmarkStart w:id="14" w:name="_Toc287967393"/>
      <w:r>
        <w:rPr>
          <w:rFonts w:hint="eastAsia"/>
        </w:rPr>
        <w:t>附录</w:t>
      </w:r>
      <w:r>
        <w:t xml:space="preserve">2 </w:t>
      </w:r>
      <w:r>
        <w:rPr>
          <w:rFonts w:hint="eastAsia"/>
        </w:rPr>
        <w:t>资格审查条件（财务最低要求）</w:t>
      </w:r>
      <w:bookmarkEnd w:id="13"/>
      <w:bookmarkEnd w:id="14"/>
    </w:p>
    <w:tbl>
      <w:tblPr>
        <w:tblStyle w:val="10"/>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9606" w:type="dxa"/>
            <w:vAlign w:val="center"/>
          </w:tcPr>
          <w:p>
            <w:pPr>
              <w:spacing w:line="360" w:lineRule="auto"/>
              <w:jc w:val="center"/>
              <w:rPr>
                <w:szCs w:val="21"/>
              </w:rPr>
            </w:pPr>
            <w:r>
              <w:rPr>
                <w:rFonts w:hint="eastAsia"/>
                <w:szCs w:val="21"/>
              </w:rPr>
              <w:t>财务要求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jc w:val="center"/>
        </w:trPr>
        <w:tc>
          <w:tcPr>
            <w:tcW w:w="9606" w:type="dxa"/>
          </w:tcPr>
          <w:p>
            <w:pPr>
              <w:adjustRightInd w:val="0"/>
              <w:snapToGrid w:val="0"/>
              <w:spacing w:line="360" w:lineRule="auto"/>
              <w:ind w:firstLine="420" w:firstLineChars="200"/>
              <w:rPr>
                <w:rFonts w:ascii="Times New Roman" w:hAnsi="Times New Roman"/>
                <w:szCs w:val="21"/>
              </w:rPr>
            </w:pPr>
          </w:p>
          <w:p>
            <w:pPr>
              <w:adjustRightInd w:val="0"/>
              <w:snapToGrid w:val="0"/>
              <w:spacing w:line="360" w:lineRule="auto"/>
              <w:ind w:firstLine="420" w:firstLineChars="200"/>
              <w:rPr>
                <w:rFonts w:hint="eastAsia" w:ascii="宋体" w:hAnsi="宋体"/>
                <w:bCs/>
                <w:szCs w:val="21"/>
              </w:rPr>
            </w:pPr>
            <w:r>
              <w:rPr>
                <w:szCs w:val="21"/>
              </w:rPr>
              <w:t>资金信用</w:t>
            </w:r>
            <w:r>
              <w:rPr>
                <w:rStyle w:val="13"/>
                <w:szCs w:val="21"/>
              </w:rPr>
              <w:footnoteReference w:id="0"/>
            </w:r>
            <w:r>
              <w:rPr>
                <w:szCs w:val="21"/>
              </w:rPr>
              <w:t>：</w:t>
            </w:r>
            <w:r>
              <w:rPr>
                <w:rFonts w:hint="eastAsia" w:ascii="宋体" w:hAnsi="宋体"/>
                <w:bCs/>
                <w:szCs w:val="21"/>
              </w:rPr>
              <w:t>投标人的经审计的</w:t>
            </w:r>
            <w:r>
              <w:rPr>
                <w:rFonts w:hint="eastAsia" w:ascii="黑体" w:hAnsi="宋体" w:eastAsia="黑体"/>
                <w:b/>
                <w:bCs/>
                <w:szCs w:val="21"/>
              </w:rPr>
              <w:t>20</w:t>
            </w:r>
            <w:r>
              <w:rPr>
                <w:rFonts w:hint="eastAsia" w:ascii="黑体" w:hAnsi="宋体" w:eastAsia="黑体"/>
                <w:b/>
                <w:bCs/>
                <w:szCs w:val="21"/>
                <w:lang w:val="en-US" w:eastAsia="zh-CN"/>
              </w:rPr>
              <w:t>20</w:t>
            </w:r>
            <w:r>
              <w:rPr>
                <w:rFonts w:hint="eastAsia" w:ascii="黑体" w:hAnsi="宋体" w:eastAsia="黑体"/>
                <w:b/>
                <w:bCs/>
                <w:szCs w:val="21"/>
              </w:rPr>
              <w:t>年</w:t>
            </w:r>
            <w:r>
              <w:rPr>
                <w:rFonts w:hint="eastAsia" w:ascii="宋体" w:hAnsi="宋体"/>
                <w:bCs/>
                <w:szCs w:val="21"/>
              </w:rPr>
              <w:t>财务会计报告中流动资金（流动资金=流动资产－流动负债）与为本项目开具的银行信贷证明之和必须达到如下标准：</w:t>
            </w:r>
          </w:p>
          <w:p>
            <w:pPr>
              <w:autoSpaceDE w:val="0"/>
              <w:autoSpaceDN w:val="0"/>
              <w:adjustRightInd w:val="0"/>
              <w:spacing w:line="360" w:lineRule="auto"/>
              <w:ind w:firstLine="413" w:firstLineChars="196"/>
              <w:rPr>
                <w:rFonts w:hint="eastAsia" w:ascii="宋体" w:hAnsi="宋体"/>
                <w:bCs/>
                <w:szCs w:val="21"/>
              </w:rPr>
            </w:pPr>
            <w:r>
              <w:rPr>
                <w:rFonts w:hint="eastAsia" w:ascii="黑体" w:hAnsi="宋体" w:eastAsia="黑体"/>
                <w:b/>
                <w:bCs/>
                <w:szCs w:val="21"/>
                <w:u w:val="single"/>
              </w:rPr>
              <w:t>0</w:t>
            </w:r>
            <w:r>
              <w:rPr>
                <w:rFonts w:hint="eastAsia" w:ascii="黑体" w:hAnsi="宋体" w:eastAsia="黑体"/>
                <w:b/>
                <w:bCs/>
                <w:szCs w:val="21"/>
                <w:highlight w:val="none"/>
                <w:u w:val="single"/>
              </w:rPr>
              <w:t>1</w:t>
            </w:r>
            <w:r>
              <w:rPr>
                <w:rFonts w:hint="eastAsia" w:ascii="黑体" w:hAnsi="宋体" w:eastAsia="黑体"/>
                <w:b/>
                <w:bCs/>
                <w:szCs w:val="21"/>
                <w:highlight w:val="none"/>
                <w:u w:val="single"/>
                <w:lang w:eastAsia="zh-CN"/>
              </w:rPr>
              <w:t>、</w:t>
            </w:r>
            <w:r>
              <w:rPr>
                <w:rFonts w:hint="eastAsia" w:ascii="黑体" w:hAnsi="宋体" w:eastAsia="黑体"/>
                <w:b/>
                <w:bCs/>
                <w:szCs w:val="21"/>
                <w:highlight w:val="none"/>
                <w:u w:val="single"/>
                <w:lang w:val="en-US" w:eastAsia="zh-CN"/>
              </w:rPr>
              <w:t>02、03</w:t>
            </w:r>
            <w:r>
              <w:rPr>
                <w:rFonts w:hint="eastAsia" w:ascii="黑体" w:hAnsi="宋体" w:eastAsia="黑体"/>
                <w:b/>
                <w:bCs/>
                <w:szCs w:val="21"/>
                <w:highlight w:val="none"/>
                <w:u w:val="single"/>
              </w:rPr>
              <w:t>标段</w:t>
            </w:r>
            <w:r>
              <w:rPr>
                <w:rFonts w:hint="eastAsia" w:ascii="黑体" w:hAnsi="宋体" w:eastAsia="黑体"/>
                <w:b/>
                <w:bCs/>
                <w:szCs w:val="21"/>
                <w:highlight w:val="none"/>
                <w:u w:val="single"/>
                <w:lang w:val="en-US" w:eastAsia="zh-CN"/>
              </w:rPr>
              <w:t>50</w:t>
            </w:r>
            <w:r>
              <w:rPr>
                <w:rFonts w:hint="eastAsia" w:ascii="黑体" w:hAnsi="宋体" w:eastAsia="黑体"/>
                <w:b/>
                <w:bCs/>
                <w:szCs w:val="21"/>
                <w:highlight w:val="none"/>
                <w:u w:val="single"/>
              </w:rPr>
              <w:t>万元</w:t>
            </w:r>
            <w:r>
              <w:rPr>
                <w:rFonts w:hint="eastAsia" w:ascii="宋体" w:hAnsi="宋体"/>
                <w:bCs/>
                <w:szCs w:val="21"/>
              </w:rPr>
              <w:t>。</w:t>
            </w:r>
          </w:p>
          <w:p>
            <w:pPr>
              <w:adjustRightInd w:val="0"/>
              <w:snapToGrid w:val="0"/>
              <w:spacing w:line="360" w:lineRule="auto"/>
              <w:ind w:firstLine="420" w:firstLineChars="200"/>
              <w:rPr>
                <w:b/>
                <w:sz w:val="28"/>
                <w:szCs w:val="28"/>
              </w:rPr>
            </w:pPr>
            <w:r>
              <w:rPr>
                <w:rFonts w:hint="eastAsia" w:ascii="宋体" w:hAnsi="宋体"/>
                <w:bCs/>
                <w:szCs w:val="21"/>
              </w:rPr>
              <w:t>银行信贷证明必须在地（市）级或以上级别的信誉良好的国有或股份制商业银行支行开具。</w:t>
            </w:r>
          </w:p>
        </w:tc>
      </w:tr>
    </w:tbl>
    <w:p>
      <w:pPr>
        <w:pStyle w:val="4"/>
        <w:spacing w:before="0" w:after="0" w:line="240" w:lineRule="auto"/>
      </w:pPr>
      <w:bookmarkStart w:id="15" w:name="_Toc287967394"/>
      <w:bookmarkStart w:id="16" w:name="_Toc514418864"/>
    </w:p>
    <w:p>
      <w:pPr>
        <w:pStyle w:val="4"/>
        <w:spacing w:before="0" w:after="0" w:line="240" w:lineRule="auto"/>
        <w:jc w:val="center"/>
        <w:rPr>
          <w:rFonts w:ascii="黑体" w:hAnsi="黑体" w:eastAsia="黑体"/>
          <w:b w:val="0"/>
          <w:szCs w:val="28"/>
        </w:rPr>
      </w:pPr>
      <w:r>
        <w:rPr>
          <w:rFonts w:hint="eastAsia"/>
        </w:rPr>
        <w:t>附录</w:t>
      </w:r>
      <w:r>
        <w:t xml:space="preserve">3 </w:t>
      </w:r>
      <w:r>
        <w:rPr>
          <w:rFonts w:hint="eastAsia"/>
        </w:rPr>
        <w:t>资格审查条件（业绩最低要求）</w:t>
      </w:r>
      <w:bookmarkEnd w:id="15"/>
      <w:bookmarkEnd w:id="16"/>
    </w:p>
    <w:tbl>
      <w:tblPr>
        <w:tblStyle w:val="10"/>
        <w:tblW w:w="9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80"/>
        <w:gridCol w:w="8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2" w:hRule="atLeast"/>
          <w:jc w:val="center"/>
        </w:trPr>
        <w:tc>
          <w:tcPr>
            <w:tcW w:w="1180" w:type="dxa"/>
            <w:vAlign w:val="center"/>
          </w:tcPr>
          <w:p>
            <w:pPr>
              <w:spacing w:line="300" w:lineRule="exact"/>
              <w:jc w:val="center"/>
              <w:rPr>
                <w:rFonts w:ascii="宋体"/>
                <w:kern w:val="0"/>
                <w:szCs w:val="21"/>
              </w:rPr>
            </w:pPr>
            <w:bookmarkStart w:id="17" w:name="_Toc287967395"/>
            <w:r>
              <w:rPr>
                <w:rFonts w:hint="eastAsia" w:ascii="宋体" w:hAnsi="宋体"/>
                <w:kern w:val="0"/>
                <w:szCs w:val="21"/>
              </w:rPr>
              <w:t>标段</w:t>
            </w:r>
          </w:p>
        </w:tc>
        <w:tc>
          <w:tcPr>
            <w:tcW w:w="8512" w:type="dxa"/>
            <w:vAlign w:val="center"/>
          </w:tcPr>
          <w:p>
            <w:pPr>
              <w:spacing w:line="300" w:lineRule="exact"/>
              <w:jc w:val="center"/>
              <w:rPr>
                <w:rFonts w:ascii="宋体" w:hAnsi="宋体"/>
                <w:szCs w:val="21"/>
              </w:rPr>
            </w:pPr>
            <w:r>
              <w:rPr>
                <w:rFonts w:hint="eastAsia" w:ascii="宋体" w:hAnsi="宋体"/>
                <w:szCs w:val="21"/>
              </w:rPr>
              <w:t>业绩要求</w:t>
            </w:r>
          </w:p>
          <w:p>
            <w:pPr>
              <w:spacing w:line="300" w:lineRule="exact"/>
              <w:jc w:val="center"/>
              <w:rPr>
                <w:rFonts w:hint="eastAsia" w:ascii="宋体" w:eastAsia="宋体"/>
                <w:szCs w:val="21"/>
                <w:lang w:eastAsia="zh-CN"/>
              </w:rPr>
            </w:pPr>
            <w:r>
              <w:rPr>
                <w:rFonts w:hint="eastAsia" w:ascii="宋体" w:hAnsi="宋体"/>
                <w:b/>
                <w:szCs w:val="21"/>
              </w:rPr>
              <w:t>近5年</w:t>
            </w:r>
            <w:r>
              <w:rPr>
                <w:rFonts w:hint="eastAsia" w:ascii="宋体" w:hAnsi="宋体"/>
                <w:b/>
                <w:szCs w:val="21"/>
                <w:lang w:eastAsia="zh-CN"/>
              </w:rPr>
              <w:t>（</w:t>
            </w:r>
            <w:r>
              <w:rPr>
                <w:rFonts w:ascii="Times New Roman" w:hAnsi="Times New Roman"/>
                <w:szCs w:val="21"/>
              </w:rPr>
              <w:t>201</w:t>
            </w:r>
            <w:r>
              <w:rPr>
                <w:rFonts w:hint="eastAsia" w:ascii="Times New Roman" w:hAnsi="Times New Roman"/>
                <w:szCs w:val="21"/>
                <w:lang w:val="en-US" w:eastAsia="zh-CN"/>
              </w:rPr>
              <w:t>6</w:t>
            </w:r>
            <w:r>
              <w:rPr>
                <w:rFonts w:ascii="Times New Roman"/>
                <w:szCs w:val="21"/>
              </w:rPr>
              <w:t>年</w:t>
            </w:r>
            <w:r>
              <w:rPr>
                <w:rFonts w:hint="eastAsia" w:ascii="Times New Roman" w:hAnsi="Times New Roman"/>
                <w:szCs w:val="21"/>
              </w:rPr>
              <w:t>1</w:t>
            </w:r>
            <w:r>
              <w:rPr>
                <w:rFonts w:ascii="Times New Roman"/>
                <w:szCs w:val="21"/>
              </w:rPr>
              <w:t>月</w:t>
            </w:r>
            <w:r>
              <w:rPr>
                <w:rFonts w:ascii="Times New Roman" w:hAnsi="Times New Roman"/>
                <w:szCs w:val="21"/>
              </w:rPr>
              <w:t>1</w:t>
            </w:r>
            <w:r>
              <w:rPr>
                <w:rFonts w:ascii="Times New Roman"/>
                <w:szCs w:val="21"/>
              </w:rPr>
              <w:t>日</w:t>
            </w:r>
            <w:r>
              <w:rPr>
                <w:rFonts w:hint="eastAsia" w:ascii="Times New Roman"/>
                <w:szCs w:val="21"/>
                <w:lang w:eastAsia="zh-CN"/>
              </w:rPr>
              <w:t>至今）</w:t>
            </w:r>
            <w:r>
              <w:rPr>
                <w:rFonts w:ascii="Times New Roman"/>
                <w:szCs w:val="21"/>
              </w:rPr>
              <w:t>累计完成过下列工程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9" w:hRule="atLeast"/>
          <w:jc w:val="center"/>
        </w:trPr>
        <w:tc>
          <w:tcPr>
            <w:tcW w:w="1180" w:type="dxa"/>
            <w:vAlign w:val="center"/>
          </w:tcPr>
          <w:p>
            <w:pPr>
              <w:spacing w:line="220" w:lineRule="exact"/>
              <w:jc w:val="center"/>
              <w:rPr>
                <w:rFonts w:hint="default" w:ascii="宋体" w:hAnsi="宋体" w:eastAsia="宋体"/>
                <w:b/>
                <w:kern w:val="0"/>
                <w:szCs w:val="21"/>
                <w:lang w:val="en-US" w:eastAsia="zh-CN"/>
              </w:rPr>
            </w:pPr>
            <w:r>
              <w:rPr>
                <w:rFonts w:hint="eastAsia" w:ascii="宋体" w:hAnsi="宋体"/>
                <w:b/>
              </w:rPr>
              <w:t>01</w:t>
            </w:r>
            <w:r>
              <w:rPr>
                <w:rFonts w:hint="eastAsia" w:ascii="宋体" w:hAnsi="宋体"/>
                <w:b/>
                <w:lang w:eastAsia="zh-CN"/>
              </w:rPr>
              <w:t>、</w:t>
            </w:r>
            <w:r>
              <w:rPr>
                <w:rFonts w:hint="eastAsia" w:ascii="宋体" w:hAnsi="宋体"/>
                <w:b/>
                <w:lang w:val="en-US" w:eastAsia="zh-CN"/>
              </w:rPr>
              <w:t>02、03</w:t>
            </w:r>
          </w:p>
        </w:tc>
        <w:tc>
          <w:tcPr>
            <w:tcW w:w="8512" w:type="dxa"/>
            <w:vAlign w:val="center"/>
          </w:tcPr>
          <w:p>
            <w:pPr>
              <w:spacing w:line="400" w:lineRule="exact"/>
              <w:ind w:firstLine="422" w:firstLineChars="200"/>
              <w:rPr>
                <w:rFonts w:hint="eastAsia"/>
                <w:b/>
                <w:bCs/>
                <w:lang w:eastAsia="zh-CN"/>
              </w:rPr>
            </w:pPr>
            <w:r>
              <w:rPr>
                <w:rFonts w:hint="eastAsia"/>
                <w:b/>
                <w:bCs/>
              </w:rPr>
              <w:t>累计完成过不少于</w:t>
            </w:r>
            <w:r>
              <w:rPr>
                <w:rFonts w:hint="eastAsia"/>
                <w:b/>
                <w:bCs/>
                <w:lang w:val="en-US" w:eastAsia="zh-CN"/>
              </w:rPr>
              <w:t>5</w:t>
            </w:r>
            <w:r>
              <w:rPr>
                <w:rFonts w:hint="eastAsia"/>
                <w:b/>
                <w:bCs/>
              </w:rPr>
              <w:t>公里</w:t>
            </w:r>
            <w:r>
              <w:rPr>
                <w:rFonts w:hint="eastAsia"/>
                <w:b/>
                <w:bCs/>
                <w:lang w:eastAsia="zh-CN"/>
              </w:rPr>
              <w:t>四级及以上公路工程施工业绩（每项施工业绩的施工内容至少应同时包括路基和水泥</w:t>
            </w:r>
            <w:r>
              <w:rPr>
                <w:rFonts w:hint="eastAsia"/>
                <w:b/>
                <w:bCs/>
              </w:rPr>
              <w:t>混凝土路面工程</w:t>
            </w:r>
            <w:r>
              <w:rPr>
                <w:rFonts w:hint="eastAsia"/>
                <w:b/>
                <w:bCs/>
                <w:lang w:eastAsia="zh-CN"/>
              </w:rPr>
              <w:t>）。</w:t>
            </w:r>
          </w:p>
          <w:p>
            <w:pPr>
              <w:pStyle w:val="8"/>
              <w:spacing w:line="340" w:lineRule="exact"/>
              <w:ind w:left="0" w:leftChars="0" w:firstLine="0" w:firstLineChars="0"/>
              <w:rPr>
                <w:rFonts w:hint="eastAsia" w:hAnsi="宋体"/>
                <w:b/>
                <w:spacing w:val="1"/>
                <w:kern w:val="0"/>
                <w:szCs w:val="21"/>
              </w:rPr>
            </w:pPr>
            <w:r>
              <w:rPr>
                <w:rFonts w:hint="eastAsia"/>
                <w:b/>
                <w:bCs/>
              </w:rPr>
              <w:t>高速公路（或一级公路）全幅按2倍长度计算，半幅按1倍长度计算</w:t>
            </w:r>
            <w:r>
              <w:rPr>
                <w:rFonts w:hint="eastAsia"/>
                <w:b/>
                <w:bCs/>
                <w:lang w:eastAsia="zh-CN"/>
              </w:rPr>
              <w:t>。</w:t>
            </w:r>
          </w:p>
        </w:tc>
      </w:tr>
      <w:bookmarkEnd w:id="17"/>
    </w:tbl>
    <w:p>
      <w:pPr>
        <w:autoSpaceDE w:val="0"/>
        <w:autoSpaceDN w:val="0"/>
        <w:adjustRightInd w:val="0"/>
        <w:jc w:val="center"/>
        <w:rPr>
          <w:rFonts w:hint="eastAsia" w:ascii="宋体" w:hAnsi="宋体" w:eastAsia="宋体" w:cs="宋体"/>
          <w:b/>
          <w:sz w:val="28"/>
          <w:szCs w:val="28"/>
          <w:lang w:val="zh-CN"/>
        </w:rPr>
      </w:pPr>
    </w:p>
    <w:p>
      <w:pPr>
        <w:autoSpaceDE w:val="0"/>
        <w:autoSpaceDN w:val="0"/>
        <w:adjustRightInd w:val="0"/>
        <w:jc w:val="center"/>
        <w:rPr>
          <w:rFonts w:hint="eastAsia" w:ascii="宋体" w:hAnsi="宋体" w:eastAsia="宋体" w:cs="宋体"/>
          <w:b/>
          <w:sz w:val="28"/>
          <w:szCs w:val="28"/>
          <w:lang w:val="zh-CN"/>
        </w:rPr>
      </w:pPr>
    </w:p>
    <w:p>
      <w:pPr>
        <w:pStyle w:val="2"/>
        <w:rPr>
          <w:rFonts w:hint="eastAsia" w:ascii="宋体" w:hAnsi="宋体" w:eastAsia="宋体" w:cs="宋体"/>
          <w:b/>
          <w:sz w:val="28"/>
          <w:szCs w:val="28"/>
          <w:lang w:val="zh-CN"/>
        </w:rPr>
      </w:pPr>
    </w:p>
    <w:p>
      <w:pPr>
        <w:rPr>
          <w:rFonts w:hint="eastAsia" w:ascii="宋体" w:hAnsi="宋体" w:eastAsia="宋体" w:cs="宋体"/>
          <w:b/>
          <w:sz w:val="28"/>
          <w:szCs w:val="28"/>
          <w:lang w:val="zh-CN"/>
        </w:rPr>
      </w:pPr>
    </w:p>
    <w:p>
      <w:pPr>
        <w:pStyle w:val="2"/>
        <w:rPr>
          <w:rFonts w:hint="eastAsia" w:ascii="宋体" w:hAnsi="宋体" w:eastAsia="宋体" w:cs="宋体"/>
          <w:b/>
          <w:sz w:val="28"/>
          <w:szCs w:val="28"/>
          <w:lang w:val="zh-CN"/>
        </w:rPr>
      </w:pPr>
    </w:p>
    <w:p>
      <w:pPr>
        <w:rPr>
          <w:rFonts w:hint="eastAsia"/>
          <w:lang w:val="zh-CN"/>
        </w:rPr>
      </w:pPr>
    </w:p>
    <w:p>
      <w:pPr>
        <w:autoSpaceDE w:val="0"/>
        <w:autoSpaceDN w:val="0"/>
        <w:adjustRightInd w:val="0"/>
        <w:jc w:val="center"/>
        <w:rPr>
          <w:rFonts w:hint="eastAsia" w:ascii="宋体" w:hAnsi="宋体" w:eastAsia="宋体" w:cs="宋体"/>
          <w:b/>
          <w:sz w:val="28"/>
          <w:szCs w:val="28"/>
          <w:lang w:val="zh-CN"/>
        </w:rPr>
      </w:pPr>
      <w:r>
        <w:rPr>
          <w:rFonts w:hint="eastAsia" w:ascii="宋体" w:hAnsi="宋体" w:eastAsia="宋体" w:cs="宋体"/>
          <w:b/>
          <w:sz w:val="28"/>
          <w:szCs w:val="28"/>
          <w:lang w:val="zh-CN"/>
        </w:rPr>
        <w:t>附录4   资格审查条件（信誉最低要求）</w:t>
      </w:r>
      <w:r>
        <w:rPr>
          <w:rStyle w:val="13"/>
          <w:rFonts w:hint="eastAsia" w:ascii="宋体" w:hAnsi="宋体" w:eastAsia="宋体" w:cs="宋体"/>
          <w:b/>
          <w:sz w:val="28"/>
          <w:szCs w:val="28"/>
          <w:lang w:val="zh-CN"/>
        </w:rPr>
        <w:footnoteReference w:id="1"/>
      </w:r>
    </w:p>
    <w:tbl>
      <w:tblPr>
        <w:tblStyle w:val="10"/>
        <w:tblW w:w="0" w:type="auto"/>
        <w:tblInd w:w="0" w:type="dxa"/>
        <w:tblLayout w:type="fixed"/>
        <w:tblCellMar>
          <w:top w:w="0" w:type="dxa"/>
          <w:left w:w="108" w:type="dxa"/>
          <w:bottom w:w="0" w:type="dxa"/>
          <w:right w:w="108" w:type="dxa"/>
        </w:tblCellMar>
      </w:tblPr>
      <w:tblGrid>
        <w:gridCol w:w="9286"/>
      </w:tblGrid>
      <w:tr>
        <w:tblPrEx>
          <w:tblCellMar>
            <w:top w:w="0" w:type="dxa"/>
            <w:left w:w="108" w:type="dxa"/>
            <w:bottom w:w="0" w:type="dxa"/>
            <w:right w:w="108" w:type="dxa"/>
          </w:tblCellMar>
        </w:tblPrEx>
        <w:trPr>
          <w:trHeight w:val="589" w:hRule="atLeast"/>
        </w:trPr>
        <w:tc>
          <w:tcPr>
            <w:tcW w:w="9286" w:type="dxa"/>
            <w:tcBorders>
              <w:top w:val="single" w:color="000000" w:sz="4" w:space="0"/>
              <w:left w:val="single" w:color="000000" w:sz="4" w:space="0"/>
              <w:bottom w:val="single" w:color="000000" w:sz="4" w:space="0"/>
              <w:right w:val="single" w:color="000000" w:sz="4" w:space="0"/>
            </w:tcBorders>
            <w:noWrap w:val="0"/>
            <w:vAlign w:val="top"/>
          </w:tcPr>
          <w:p>
            <w:pPr>
              <w:tabs>
                <w:tab w:val="left" w:pos="1950"/>
              </w:tabs>
              <w:spacing w:line="360" w:lineRule="auto"/>
              <w:jc w:val="center"/>
              <w:rPr>
                <w:rFonts w:hint="eastAsia" w:ascii="宋体" w:hAnsi="宋体" w:eastAsia="宋体" w:cs="宋体"/>
                <w:kern w:val="1"/>
                <w:szCs w:val="21"/>
              </w:rPr>
            </w:pPr>
            <w:r>
              <w:rPr>
                <w:rFonts w:hint="eastAsia" w:ascii="宋体" w:hAnsi="宋体" w:eastAsia="宋体" w:cs="宋体"/>
                <w:kern w:val="1"/>
                <w:szCs w:val="21"/>
              </w:rPr>
              <w:t>信 誉 要 求</w:t>
            </w:r>
          </w:p>
        </w:tc>
      </w:tr>
      <w:tr>
        <w:tblPrEx>
          <w:tblCellMar>
            <w:top w:w="0" w:type="dxa"/>
            <w:left w:w="108" w:type="dxa"/>
            <w:bottom w:w="0" w:type="dxa"/>
            <w:right w:w="108" w:type="dxa"/>
          </w:tblCellMar>
        </w:tblPrEx>
        <w:trPr>
          <w:trHeight w:val="1161" w:hRule="atLeast"/>
        </w:trPr>
        <w:tc>
          <w:tcPr>
            <w:tcW w:w="9286" w:type="dxa"/>
            <w:tcBorders>
              <w:top w:val="single" w:color="000000" w:sz="4" w:space="0"/>
              <w:left w:val="single" w:color="000000" w:sz="4" w:space="0"/>
              <w:bottom w:val="single" w:color="000000" w:sz="4" w:space="0"/>
              <w:right w:val="single" w:color="000000" w:sz="4" w:space="0"/>
            </w:tcBorders>
            <w:noWrap w:val="0"/>
            <w:vAlign w:val="center"/>
          </w:tcPr>
          <w:p>
            <w:pPr>
              <w:pStyle w:val="8"/>
              <w:spacing w:line="276" w:lineRule="auto"/>
              <w:ind w:left="13" w:leftChars="6" w:right="-115" w:firstLine="0" w:firstLineChars="0"/>
              <w:rPr>
                <w:rFonts w:hint="eastAsia" w:ascii="宋体" w:hAnsi="宋体" w:eastAsia="宋体" w:cs="宋体"/>
                <w:bCs/>
                <w:szCs w:val="21"/>
                <w:lang w:val="zh-CN"/>
              </w:rPr>
            </w:pPr>
            <w:r>
              <w:rPr>
                <w:rFonts w:hint="eastAsia" w:ascii="宋体" w:hAnsi="宋体" w:eastAsia="宋体" w:cs="宋体"/>
                <w:bCs/>
                <w:szCs w:val="21"/>
                <w:lang w:val="zh-CN"/>
              </w:rPr>
              <w:t>投标人不得存在以下规定的任何一种情形：</w:t>
            </w:r>
          </w:p>
          <w:p>
            <w:pPr>
              <w:pStyle w:val="8"/>
              <w:spacing w:line="276" w:lineRule="auto"/>
              <w:ind w:left="13" w:leftChars="6" w:right="-115" w:firstLine="0" w:firstLineChars="0"/>
              <w:rPr>
                <w:rFonts w:hint="eastAsia" w:ascii="宋体" w:hAnsi="宋体" w:eastAsia="宋体" w:cs="宋体"/>
                <w:bCs/>
                <w:szCs w:val="21"/>
                <w:lang w:val="zh-CN"/>
              </w:rPr>
            </w:pPr>
            <w:r>
              <w:rPr>
                <w:rFonts w:hint="eastAsia" w:ascii="宋体" w:hAnsi="宋体" w:eastAsia="宋体" w:cs="宋体"/>
                <w:bCs/>
                <w:szCs w:val="21"/>
                <w:lang w:val="zh-CN"/>
              </w:rPr>
              <w:t>（1）财务被接管或冻结；</w:t>
            </w:r>
          </w:p>
          <w:p>
            <w:pPr>
              <w:pStyle w:val="8"/>
              <w:spacing w:line="276" w:lineRule="auto"/>
              <w:ind w:left="13" w:leftChars="6" w:right="-115" w:firstLine="0" w:firstLineChars="0"/>
              <w:rPr>
                <w:rFonts w:hint="eastAsia" w:ascii="宋体" w:hAnsi="宋体" w:eastAsia="宋体" w:cs="宋体"/>
                <w:kern w:val="1"/>
                <w:szCs w:val="18"/>
              </w:rPr>
            </w:pPr>
            <w:r>
              <w:rPr>
                <w:rFonts w:hint="eastAsia" w:ascii="宋体" w:hAnsi="宋体" w:eastAsia="宋体" w:cs="宋体"/>
                <w:bCs/>
                <w:szCs w:val="21"/>
                <w:lang w:val="zh-CN"/>
              </w:rPr>
              <w:t>（</w:t>
            </w:r>
            <w:r>
              <w:rPr>
                <w:rFonts w:hint="eastAsia" w:ascii="宋体" w:hAnsi="宋体" w:eastAsia="宋体" w:cs="宋体"/>
                <w:bCs/>
                <w:szCs w:val="21"/>
              </w:rPr>
              <w:t>2</w:t>
            </w:r>
            <w:r>
              <w:rPr>
                <w:rFonts w:hint="eastAsia" w:ascii="宋体" w:hAnsi="宋体" w:eastAsia="宋体" w:cs="宋体"/>
                <w:bCs/>
                <w:szCs w:val="21"/>
                <w:lang w:val="zh-CN"/>
              </w:rPr>
              <w:t>）经评标委员会认定会对承担本项目造成重大影响的正在诉讼的案件。</w:t>
            </w:r>
          </w:p>
        </w:tc>
      </w:tr>
    </w:tbl>
    <w:p>
      <w:pPr>
        <w:rPr>
          <w:rFonts w:hint="eastAsia" w:ascii="宋体" w:hAnsi="宋体" w:eastAsia="宋体" w:cs="宋体"/>
          <w:highlight w:val="green"/>
        </w:rPr>
      </w:pPr>
    </w:p>
    <w:p>
      <w:pPr>
        <w:rPr>
          <w:rFonts w:hint="eastAsia" w:ascii="宋体" w:hAnsi="宋体" w:eastAsia="宋体" w:cs="宋体"/>
          <w:highlight w:val="green"/>
        </w:rPr>
      </w:pPr>
    </w:p>
    <w:p>
      <w:pPr>
        <w:pStyle w:val="3"/>
        <w:tabs>
          <w:tab w:val="left" w:pos="180"/>
        </w:tabs>
        <w:ind w:firstLine="551" w:firstLineChars="196"/>
        <w:jc w:val="center"/>
        <w:rPr>
          <w:rFonts w:hint="eastAsia" w:ascii="宋体" w:hAnsi="宋体" w:eastAsia="宋体" w:cs="宋体"/>
          <w:sz w:val="28"/>
          <w:szCs w:val="28"/>
          <w:lang w:val="zh-CN"/>
        </w:rPr>
      </w:pPr>
    </w:p>
    <w:p>
      <w:pPr>
        <w:pStyle w:val="3"/>
        <w:tabs>
          <w:tab w:val="left" w:pos="180"/>
        </w:tabs>
        <w:ind w:firstLine="551" w:firstLineChars="196"/>
        <w:jc w:val="center"/>
        <w:rPr>
          <w:rFonts w:hint="eastAsia" w:ascii="宋体" w:hAnsi="宋体" w:eastAsia="宋体" w:cs="宋体"/>
          <w:sz w:val="28"/>
          <w:szCs w:val="28"/>
          <w:lang w:val="zh-CN"/>
        </w:rPr>
      </w:pPr>
    </w:p>
    <w:p>
      <w:pPr>
        <w:pStyle w:val="3"/>
        <w:tabs>
          <w:tab w:val="left" w:pos="180"/>
        </w:tabs>
        <w:ind w:firstLine="551" w:firstLineChars="196"/>
        <w:jc w:val="center"/>
        <w:rPr>
          <w:rFonts w:hint="eastAsia" w:ascii="宋体" w:hAnsi="宋体" w:eastAsia="宋体" w:cs="宋体"/>
          <w:sz w:val="28"/>
          <w:szCs w:val="28"/>
          <w:lang w:val="zh-CN"/>
        </w:rPr>
      </w:pPr>
    </w:p>
    <w:p>
      <w:pPr>
        <w:pStyle w:val="3"/>
        <w:tabs>
          <w:tab w:val="left" w:pos="180"/>
        </w:tabs>
        <w:ind w:firstLine="551" w:firstLineChars="196"/>
        <w:jc w:val="center"/>
        <w:rPr>
          <w:rFonts w:hint="eastAsia" w:ascii="宋体" w:hAnsi="宋体" w:eastAsia="宋体" w:cs="宋体"/>
          <w:sz w:val="28"/>
          <w:szCs w:val="28"/>
          <w:lang w:val="zh-CN"/>
        </w:rPr>
      </w:pPr>
    </w:p>
    <w:p>
      <w:pPr>
        <w:pStyle w:val="3"/>
        <w:tabs>
          <w:tab w:val="left" w:pos="180"/>
        </w:tabs>
        <w:ind w:firstLine="551" w:firstLineChars="196"/>
        <w:jc w:val="center"/>
        <w:rPr>
          <w:rFonts w:hint="eastAsia" w:ascii="宋体" w:hAnsi="宋体" w:eastAsia="宋体" w:cs="宋体"/>
          <w:sz w:val="28"/>
          <w:szCs w:val="28"/>
          <w:lang w:val="zh-CN"/>
        </w:rPr>
      </w:pPr>
    </w:p>
    <w:p>
      <w:pPr>
        <w:pStyle w:val="3"/>
        <w:tabs>
          <w:tab w:val="left" w:pos="180"/>
        </w:tabs>
        <w:ind w:firstLine="551" w:firstLineChars="196"/>
        <w:jc w:val="center"/>
        <w:rPr>
          <w:rFonts w:hint="eastAsia" w:ascii="宋体" w:hAnsi="宋体" w:eastAsia="宋体" w:cs="宋体"/>
          <w:sz w:val="28"/>
          <w:szCs w:val="28"/>
          <w:lang w:val="zh-CN"/>
        </w:rPr>
      </w:pPr>
    </w:p>
    <w:p>
      <w:pPr>
        <w:pStyle w:val="3"/>
        <w:tabs>
          <w:tab w:val="left" w:pos="180"/>
        </w:tabs>
        <w:ind w:firstLine="551" w:firstLineChars="196"/>
        <w:jc w:val="center"/>
        <w:rPr>
          <w:rFonts w:hint="eastAsia" w:ascii="宋体" w:hAnsi="宋体" w:eastAsia="宋体" w:cs="宋体"/>
          <w:sz w:val="28"/>
          <w:szCs w:val="28"/>
          <w:lang w:val="zh-CN"/>
        </w:rPr>
      </w:pPr>
    </w:p>
    <w:p>
      <w:pPr>
        <w:pStyle w:val="3"/>
        <w:tabs>
          <w:tab w:val="left" w:pos="180"/>
        </w:tabs>
        <w:ind w:firstLine="551" w:firstLineChars="196"/>
        <w:jc w:val="center"/>
        <w:rPr>
          <w:rFonts w:hint="eastAsia" w:ascii="宋体" w:hAnsi="宋体" w:eastAsia="宋体" w:cs="宋体"/>
          <w:sz w:val="28"/>
          <w:szCs w:val="28"/>
          <w:lang w:val="zh-CN"/>
        </w:rPr>
      </w:pPr>
    </w:p>
    <w:p>
      <w:pPr>
        <w:rPr>
          <w:rFonts w:hint="eastAsia" w:ascii="宋体" w:hAnsi="宋体" w:eastAsia="宋体" w:cs="宋体"/>
          <w:lang w:val="zh-CN"/>
        </w:rPr>
      </w:pPr>
    </w:p>
    <w:p>
      <w:pPr>
        <w:pStyle w:val="3"/>
        <w:tabs>
          <w:tab w:val="left" w:pos="180"/>
        </w:tabs>
        <w:ind w:firstLine="551" w:firstLineChars="196"/>
        <w:jc w:val="center"/>
        <w:rPr>
          <w:rFonts w:hint="eastAsia" w:ascii="宋体" w:hAnsi="宋体" w:eastAsia="宋体" w:cs="宋体"/>
          <w:sz w:val="28"/>
          <w:szCs w:val="28"/>
          <w:lang w:val="zh-CN"/>
        </w:rPr>
      </w:pPr>
    </w:p>
    <w:p>
      <w:pPr>
        <w:pStyle w:val="3"/>
        <w:tabs>
          <w:tab w:val="left" w:pos="180"/>
        </w:tabs>
        <w:ind w:firstLine="551" w:firstLineChars="196"/>
        <w:jc w:val="center"/>
        <w:rPr>
          <w:rFonts w:hint="eastAsia" w:ascii="宋体" w:hAnsi="宋体" w:eastAsia="宋体" w:cs="宋体"/>
          <w:sz w:val="28"/>
          <w:szCs w:val="28"/>
          <w:lang w:val="zh-CN"/>
        </w:rPr>
      </w:pPr>
    </w:p>
    <w:p>
      <w:pPr>
        <w:rPr>
          <w:rFonts w:hint="eastAsia" w:ascii="宋体" w:hAnsi="宋体" w:eastAsia="宋体" w:cs="宋体"/>
          <w:sz w:val="28"/>
          <w:szCs w:val="28"/>
          <w:lang w:val="zh-CN"/>
        </w:rPr>
      </w:pPr>
    </w:p>
    <w:p>
      <w:pPr>
        <w:pStyle w:val="4"/>
        <w:keepNext w:val="0"/>
        <w:keepLines w:val="0"/>
        <w:jc w:val="center"/>
        <w:rPr>
          <w:rFonts w:hint="eastAsia" w:ascii="宋体" w:hAnsi="宋体" w:eastAsia="宋体" w:cs="宋体"/>
          <w:b/>
          <w:bCs/>
          <w:lang w:val="zh-CN"/>
        </w:rPr>
      </w:pPr>
      <w:r>
        <w:rPr>
          <w:rFonts w:hint="eastAsia" w:ascii="宋体" w:hAnsi="宋体" w:eastAsia="宋体" w:cs="宋体"/>
          <w:b/>
          <w:bCs/>
          <w:lang w:val="zh-CN"/>
        </w:rPr>
        <w:t>附录5   资格审查条件（项目经理和项目总工最低要求）</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645"/>
        <w:gridCol w:w="6975"/>
        <w:gridCol w:w="1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人员</w:t>
            </w:r>
          </w:p>
        </w:tc>
        <w:tc>
          <w:tcPr>
            <w:tcW w:w="645"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数量</w:t>
            </w:r>
          </w:p>
        </w:tc>
        <w:tc>
          <w:tcPr>
            <w:tcW w:w="6975"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资格要求</w:t>
            </w:r>
          </w:p>
        </w:tc>
        <w:tc>
          <w:tcPr>
            <w:tcW w:w="1347" w:type="dxa"/>
            <w:noWrap w:val="0"/>
            <w:vAlign w:val="top"/>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0" w:hRule="atLeast"/>
          <w:jc w:val="center"/>
        </w:trPr>
        <w:tc>
          <w:tcPr>
            <w:tcW w:w="733"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项目经理</w:t>
            </w:r>
          </w:p>
        </w:tc>
        <w:tc>
          <w:tcPr>
            <w:tcW w:w="645" w:type="dxa"/>
            <w:noWrap w:val="0"/>
            <w:vAlign w:val="center"/>
          </w:tcPr>
          <w:p>
            <w:pPr>
              <w:autoSpaceDE w:val="0"/>
              <w:autoSpaceDN w:val="0"/>
              <w:adjustRightInd w:val="0"/>
              <w:spacing w:line="400" w:lineRule="exact"/>
              <w:jc w:val="center"/>
              <w:rPr>
                <w:rFonts w:hint="eastAsia" w:ascii="宋体" w:hAnsi="宋体" w:eastAsia="宋体" w:cs="宋体"/>
                <w:b/>
                <w:szCs w:val="21"/>
              </w:rPr>
            </w:pPr>
            <w:r>
              <w:rPr>
                <w:rFonts w:hint="eastAsia" w:ascii="宋体" w:hAnsi="宋体" w:eastAsia="宋体" w:cs="宋体"/>
                <w:b/>
                <w:szCs w:val="21"/>
              </w:rPr>
              <w:t>1</w:t>
            </w:r>
          </w:p>
        </w:tc>
        <w:tc>
          <w:tcPr>
            <w:tcW w:w="6975" w:type="dxa"/>
            <w:noWrap w:val="0"/>
            <w:vAlign w:val="center"/>
          </w:tcPr>
          <w:p>
            <w:pPr>
              <w:spacing w:line="276" w:lineRule="auto"/>
              <w:rPr>
                <w:rFonts w:hint="eastAsia" w:ascii="宋体" w:hAnsi="宋体" w:eastAsia="宋体" w:cs="宋体"/>
                <w:b/>
                <w:szCs w:val="21"/>
              </w:rPr>
            </w:pPr>
            <w:r>
              <w:rPr>
                <w:rFonts w:hint="eastAsia" w:ascii="宋体" w:hAnsi="宋体" w:eastAsia="宋体" w:cs="宋体"/>
                <w:b/>
                <w:szCs w:val="21"/>
              </w:rPr>
              <w:t>（1）投标人自有人员</w:t>
            </w:r>
            <w:r>
              <w:rPr>
                <w:rStyle w:val="13"/>
                <w:rFonts w:hint="eastAsia" w:ascii="宋体" w:hAnsi="宋体" w:eastAsia="宋体" w:cs="宋体"/>
                <w:bCs/>
              </w:rPr>
              <w:footnoteReference w:id="2"/>
            </w:r>
            <w:r>
              <w:rPr>
                <w:rFonts w:hint="eastAsia" w:ascii="宋体" w:hAnsi="宋体" w:eastAsia="宋体" w:cs="宋体"/>
                <w:szCs w:val="21"/>
              </w:rPr>
              <w:t>；</w:t>
            </w:r>
          </w:p>
          <w:p>
            <w:pPr>
              <w:spacing w:line="276" w:lineRule="auto"/>
              <w:rPr>
                <w:rFonts w:hint="eastAsia" w:ascii="宋体" w:hAnsi="宋体" w:eastAsia="宋体" w:cs="宋体"/>
                <w:bCs/>
              </w:rPr>
            </w:pPr>
            <w:r>
              <w:rPr>
                <w:rFonts w:hint="eastAsia" w:ascii="宋体" w:hAnsi="宋体" w:eastAsia="宋体" w:cs="宋体"/>
                <w:b/>
                <w:szCs w:val="21"/>
              </w:rPr>
              <w:t>（2）</w:t>
            </w:r>
            <w:r>
              <w:rPr>
                <w:rFonts w:hint="eastAsia" w:ascii="宋体" w:hAnsi="宋体" w:eastAsia="宋体" w:cs="宋体"/>
                <w:szCs w:val="21"/>
              </w:rPr>
              <w:t>具有</w:t>
            </w:r>
            <w:r>
              <w:rPr>
                <w:rFonts w:hint="eastAsia" w:ascii="宋体" w:hAnsi="宋体" w:eastAsia="宋体" w:cs="宋体"/>
                <w:bCs/>
              </w:rPr>
              <w:t>公路工程相关专业</w:t>
            </w:r>
            <w:r>
              <w:rPr>
                <w:rStyle w:val="13"/>
                <w:rFonts w:hint="eastAsia" w:ascii="宋体" w:hAnsi="宋体" w:eastAsia="宋体" w:cs="宋体"/>
                <w:bCs/>
              </w:rPr>
              <w:footnoteReference w:id="3"/>
            </w:r>
            <w:r>
              <w:rPr>
                <w:rFonts w:hint="eastAsia" w:ascii="宋体" w:hAnsi="宋体" w:eastAsia="宋体" w:cs="宋体"/>
                <w:b/>
                <w:bCs/>
              </w:rPr>
              <w:t>中级职称</w:t>
            </w:r>
            <w:r>
              <w:rPr>
                <w:rFonts w:hint="eastAsia" w:ascii="宋体" w:hAnsi="宋体" w:eastAsia="宋体" w:cs="宋体"/>
                <w:szCs w:val="21"/>
              </w:rPr>
              <w:t>；</w:t>
            </w:r>
          </w:p>
          <w:p>
            <w:pPr>
              <w:spacing w:line="276" w:lineRule="auto"/>
              <w:rPr>
                <w:rFonts w:hint="eastAsia" w:ascii="宋体" w:hAnsi="宋体" w:eastAsia="宋体" w:cs="宋体"/>
                <w:bCs/>
              </w:rPr>
            </w:pPr>
            <w:r>
              <w:rPr>
                <w:rFonts w:hint="eastAsia" w:ascii="宋体" w:hAnsi="宋体" w:eastAsia="宋体" w:cs="宋体"/>
                <w:b/>
                <w:szCs w:val="21"/>
              </w:rPr>
              <w:t>（3）</w:t>
            </w:r>
            <w:r>
              <w:rPr>
                <w:rFonts w:hint="eastAsia" w:ascii="宋体" w:hAnsi="宋体" w:eastAsia="宋体" w:cs="宋体"/>
                <w:szCs w:val="21"/>
              </w:rPr>
              <w:t>持有建设主管部门颁发的有效的“</w:t>
            </w:r>
            <w:r>
              <w:rPr>
                <w:rFonts w:hint="eastAsia" w:ascii="宋体" w:hAnsi="宋体" w:eastAsia="宋体" w:cs="宋体"/>
                <w:b/>
                <w:bCs/>
              </w:rPr>
              <w:t>公路工程</w:t>
            </w:r>
            <w:r>
              <w:rPr>
                <w:rFonts w:hint="eastAsia" w:ascii="宋体" w:hAnsi="宋体" w:eastAsia="宋体" w:cs="宋体"/>
                <w:szCs w:val="21"/>
              </w:rPr>
              <w:t>”专业《</w:t>
            </w:r>
            <w:r>
              <w:rPr>
                <w:rFonts w:hint="eastAsia" w:ascii="宋体" w:hAnsi="宋体" w:eastAsia="宋体" w:cs="宋体"/>
                <w:b/>
                <w:szCs w:val="21"/>
              </w:rPr>
              <w:t>二级注册建造师证书</w:t>
            </w:r>
            <w:r>
              <w:rPr>
                <w:rFonts w:hint="eastAsia" w:ascii="宋体" w:hAnsi="宋体" w:eastAsia="宋体" w:cs="宋体"/>
                <w:szCs w:val="21"/>
              </w:rPr>
              <w:t>》</w:t>
            </w:r>
            <w:r>
              <w:rPr>
                <w:rFonts w:hint="eastAsia" w:ascii="宋体" w:hAnsi="宋体" w:eastAsia="宋体" w:cs="宋体"/>
                <w:bCs/>
                <w:szCs w:val="21"/>
              </w:rPr>
              <w:t>，且现注册单位为投标人；</w:t>
            </w:r>
          </w:p>
          <w:p>
            <w:pPr>
              <w:adjustRightInd w:val="0"/>
              <w:snapToGrid w:val="0"/>
              <w:spacing w:line="276" w:lineRule="auto"/>
              <w:rPr>
                <w:rFonts w:hint="eastAsia" w:ascii="宋体" w:hAnsi="宋体" w:eastAsia="宋体" w:cs="宋体"/>
                <w:szCs w:val="21"/>
              </w:rPr>
            </w:pPr>
            <w:r>
              <w:rPr>
                <w:rFonts w:hint="eastAsia" w:ascii="宋体" w:hAnsi="宋体" w:eastAsia="宋体" w:cs="宋体"/>
                <w:b/>
                <w:szCs w:val="21"/>
              </w:rPr>
              <w:t>（4）</w:t>
            </w:r>
            <w:r>
              <w:rPr>
                <w:rFonts w:hint="eastAsia" w:ascii="宋体" w:hAnsi="宋体" w:eastAsia="宋体" w:cs="宋体"/>
                <w:szCs w:val="21"/>
              </w:rPr>
              <w:t>具有</w:t>
            </w:r>
            <w:r>
              <w:rPr>
                <w:rFonts w:hint="eastAsia" w:ascii="宋体" w:hAnsi="宋体" w:eastAsia="宋体" w:cs="宋体"/>
                <w:bCs/>
              </w:rPr>
              <w:t>相关部门颁发</w:t>
            </w:r>
            <w:r>
              <w:rPr>
                <w:rFonts w:hint="eastAsia" w:ascii="宋体" w:hAnsi="宋体" w:eastAsia="宋体" w:cs="宋体"/>
                <w:szCs w:val="21"/>
              </w:rPr>
              <w:t>的</w:t>
            </w:r>
            <w:r>
              <w:rPr>
                <w:rFonts w:hint="eastAsia" w:ascii="宋体" w:hAnsi="宋体" w:eastAsia="宋体" w:cs="宋体"/>
                <w:bCs/>
              </w:rPr>
              <w:t>有效的B类</w:t>
            </w:r>
            <w:r>
              <w:rPr>
                <w:rFonts w:hint="eastAsia" w:ascii="宋体" w:hAnsi="宋体" w:eastAsia="宋体" w:cs="宋体"/>
                <w:b/>
                <w:color w:val="000000"/>
                <w:sz w:val="20"/>
                <w:szCs w:val="20"/>
              </w:rPr>
              <w:t>《安全生产考核合格证书》</w:t>
            </w:r>
            <w:r>
              <w:rPr>
                <w:rFonts w:hint="eastAsia" w:ascii="宋体" w:hAnsi="宋体" w:eastAsia="宋体" w:cs="宋体"/>
                <w:szCs w:val="21"/>
              </w:rPr>
              <w:t>；</w:t>
            </w:r>
          </w:p>
          <w:p>
            <w:pPr>
              <w:spacing w:line="276" w:lineRule="auto"/>
              <w:rPr>
                <w:rFonts w:hint="eastAsia" w:ascii="宋体" w:hAnsi="宋体" w:eastAsia="宋体" w:cs="宋体"/>
                <w:bCs/>
              </w:rPr>
            </w:pPr>
            <w:r>
              <w:rPr>
                <w:rFonts w:hint="eastAsia" w:ascii="宋体" w:hAnsi="宋体" w:eastAsia="宋体" w:cs="宋体"/>
                <w:b/>
                <w:szCs w:val="21"/>
              </w:rPr>
              <w:t>（5）</w:t>
            </w:r>
            <w:r>
              <w:rPr>
                <w:rFonts w:hint="eastAsia" w:ascii="宋体" w:hAnsi="宋体" w:eastAsia="宋体" w:cs="宋体"/>
                <w:szCs w:val="21"/>
              </w:rPr>
              <w:t>公路工程施工管理工作经验</w:t>
            </w:r>
            <w:r>
              <w:rPr>
                <w:rFonts w:hint="eastAsia" w:ascii="宋体" w:hAnsi="宋体" w:eastAsia="宋体" w:cs="宋体"/>
                <w:b/>
                <w:szCs w:val="21"/>
              </w:rPr>
              <w:t>5年</w:t>
            </w:r>
            <w:r>
              <w:rPr>
                <w:rFonts w:hint="eastAsia" w:ascii="宋体" w:hAnsi="宋体" w:eastAsia="宋体" w:cs="宋体"/>
                <w:szCs w:val="21"/>
              </w:rPr>
              <w:t>，担任过公路工程</w:t>
            </w:r>
            <w:r>
              <w:rPr>
                <w:rFonts w:hint="eastAsia" w:ascii="宋体" w:hAnsi="宋体" w:eastAsia="宋体" w:cs="宋体"/>
                <w:b/>
                <w:szCs w:val="21"/>
              </w:rPr>
              <w:t>项目经理3年,</w:t>
            </w:r>
            <w:r>
              <w:rPr>
                <w:rFonts w:hint="eastAsia" w:ascii="宋体" w:hAnsi="宋体" w:eastAsia="宋体" w:cs="宋体"/>
                <w:szCs w:val="21"/>
              </w:rPr>
              <w:t xml:space="preserve"> 并作为项目经理至少</w:t>
            </w:r>
            <w:r>
              <w:rPr>
                <w:rFonts w:hint="eastAsia" w:ascii="宋体" w:hAnsi="宋体" w:eastAsia="宋体" w:cs="宋体"/>
                <w:szCs w:val="21"/>
                <w:lang w:eastAsia="zh-CN"/>
              </w:rPr>
              <w:t>管理过一项公路工程施工（施工内容至少应同时包括路基和水泥混泥土路面工程）</w:t>
            </w:r>
            <w:r>
              <w:rPr>
                <w:rFonts w:hint="eastAsia" w:ascii="宋体" w:hAnsi="宋体" w:eastAsia="宋体" w:cs="宋体"/>
                <w:szCs w:val="21"/>
              </w:rPr>
              <w:t>。</w:t>
            </w:r>
            <w:r>
              <w:rPr>
                <w:rFonts w:hint="eastAsia" w:ascii="宋体" w:hAnsi="宋体" w:eastAsia="宋体" w:cs="宋体"/>
                <w:bCs/>
              </w:rPr>
              <w:t xml:space="preserve"> </w:t>
            </w:r>
          </w:p>
        </w:tc>
        <w:tc>
          <w:tcPr>
            <w:tcW w:w="1347" w:type="dxa"/>
            <w:vMerge w:val="restart"/>
            <w:noWrap w:val="0"/>
            <w:vAlign w:val="center"/>
          </w:tcPr>
          <w:p>
            <w:pPr>
              <w:spacing w:line="276" w:lineRule="auto"/>
              <w:jc w:val="center"/>
              <w:rPr>
                <w:rFonts w:hint="eastAsia" w:ascii="宋体" w:hAnsi="宋体" w:eastAsia="宋体" w:cs="宋体"/>
                <w:b/>
                <w:szCs w:val="21"/>
              </w:rPr>
            </w:pPr>
            <w:r>
              <w:rPr>
                <w:rFonts w:hint="eastAsia" w:ascii="宋体" w:hAnsi="宋体" w:eastAsia="宋体" w:cs="宋体"/>
                <w:szCs w:val="21"/>
              </w:rPr>
              <w:t>无在岗项目（指目前未在其他项目上任职，或虽在其他项目任职但本项目中标后能够从该项目撤离）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733"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项目总工</w:t>
            </w:r>
          </w:p>
        </w:tc>
        <w:tc>
          <w:tcPr>
            <w:tcW w:w="645" w:type="dxa"/>
            <w:noWrap w:val="0"/>
            <w:vAlign w:val="center"/>
          </w:tcPr>
          <w:p>
            <w:pPr>
              <w:autoSpaceDE w:val="0"/>
              <w:autoSpaceDN w:val="0"/>
              <w:adjustRightInd w:val="0"/>
              <w:spacing w:line="400" w:lineRule="exact"/>
              <w:jc w:val="center"/>
              <w:rPr>
                <w:rFonts w:hint="eastAsia" w:ascii="宋体" w:hAnsi="宋体" w:eastAsia="宋体" w:cs="宋体"/>
                <w:b/>
                <w:szCs w:val="21"/>
              </w:rPr>
            </w:pPr>
            <w:r>
              <w:rPr>
                <w:rFonts w:hint="eastAsia" w:ascii="宋体" w:hAnsi="宋体" w:eastAsia="宋体" w:cs="宋体"/>
                <w:b/>
                <w:szCs w:val="21"/>
              </w:rPr>
              <w:t>1</w:t>
            </w:r>
          </w:p>
        </w:tc>
        <w:tc>
          <w:tcPr>
            <w:tcW w:w="6975" w:type="dxa"/>
            <w:noWrap w:val="0"/>
            <w:vAlign w:val="center"/>
          </w:tcPr>
          <w:p>
            <w:pPr>
              <w:spacing w:line="276" w:lineRule="auto"/>
              <w:rPr>
                <w:rFonts w:hint="eastAsia" w:ascii="宋体" w:hAnsi="宋体" w:eastAsia="宋体" w:cs="宋体"/>
                <w:b/>
                <w:szCs w:val="21"/>
              </w:rPr>
            </w:pPr>
            <w:r>
              <w:rPr>
                <w:rFonts w:hint="eastAsia" w:ascii="宋体" w:hAnsi="宋体" w:eastAsia="宋体" w:cs="宋体"/>
                <w:b/>
                <w:szCs w:val="21"/>
              </w:rPr>
              <w:t>（1）投标人自有人员</w:t>
            </w:r>
            <w:r>
              <w:rPr>
                <w:rFonts w:hint="eastAsia" w:ascii="宋体" w:hAnsi="宋体" w:eastAsia="宋体" w:cs="宋体"/>
                <w:szCs w:val="21"/>
              </w:rPr>
              <w:t>；</w:t>
            </w:r>
          </w:p>
          <w:p>
            <w:pPr>
              <w:spacing w:line="276" w:lineRule="auto"/>
              <w:rPr>
                <w:rFonts w:hint="eastAsia" w:ascii="宋体" w:hAnsi="宋体" w:eastAsia="宋体" w:cs="宋体"/>
                <w:szCs w:val="21"/>
              </w:rPr>
            </w:pPr>
            <w:r>
              <w:rPr>
                <w:rFonts w:hint="eastAsia" w:ascii="宋体" w:hAnsi="宋体" w:eastAsia="宋体" w:cs="宋体"/>
                <w:b/>
                <w:szCs w:val="21"/>
              </w:rPr>
              <w:t>（2）</w:t>
            </w:r>
            <w:r>
              <w:rPr>
                <w:rFonts w:hint="eastAsia" w:ascii="宋体" w:hAnsi="宋体" w:eastAsia="宋体" w:cs="宋体"/>
                <w:szCs w:val="21"/>
              </w:rPr>
              <w:t>具有</w:t>
            </w:r>
            <w:r>
              <w:rPr>
                <w:rFonts w:hint="eastAsia" w:ascii="宋体" w:hAnsi="宋体" w:eastAsia="宋体" w:cs="宋体"/>
                <w:bCs/>
              </w:rPr>
              <w:t>公路工程相关专业</w:t>
            </w:r>
            <w:r>
              <w:rPr>
                <w:rFonts w:hint="eastAsia" w:ascii="宋体" w:hAnsi="宋体" w:eastAsia="宋体" w:cs="宋体"/>
                <w:b/>
                <w:bCs/>
              </w:rPr>
              <w:t>中级职称</w:t>
            </w:r>
            <w:r>
              <w:rPr>
                <w:rFonts w:hint="eastAsia" w:ascii="宋体" w:hAnsi="宋体" w:eastAsia="宋体" w:cs="宋体"/>
                <w:szCs w:val="21"/>
              </w:rPr>
              <w:t>；</w:t>
            </w:r>
          </w:p>
          <w:p>
            <w:pPr>
              <w:autoSpaceDE w:val="0"/>
              <w:autoSpaceDN w:val="0"/>
              <w:adjustRightInd w:val="0"/>
              <w:spacing w:line="276" w:lineRule="auto"/>
              <w:rPr>
                <w:rFonts w:hint="eastAsia" w:ascii="宋体" w:hAnsi="宋体" w:eastAsia="宋体" w:cs="宋体"/>
                <w:szCs w:val="21"/>
              </w:rPr>
            </w:pPr>
            <w:r>
              <w:rPr>
                <w:rFonts w:hint="eastAsia" w:ascii="宋体" w:hAnsi="宋体" w:eastAsia="宋体" w:cs="宋体"/>
                <w:b/>
                <w:szCs w:val="21"/>
              </w:rPr>
              <w:t>（3）</w:t>
            </w:r>
            <w:r>
              <w:rPr>
                <w:rFonts w:hint="eastAsia" w:ascii="宋体" w:hAnsi="宋体" w:eastAsia="宋体" w:cs="宋体"/>
                <w:szCs w:val="21"/>
              </w:rPr>
              <w:t>公路工程施工管理工作经验</w:t>
            </w:r>
            <w:r>
              <w:rPr>
                <w:rFonts w:hint="eastAsia" w:ascii="宋体" w:hAnsi="宋体" w:eastAsia="宋体" w:cs="宋体"/>
                <w:b/>
                <w:szCs w:val="21"/>
              </w:rPr>
              <w:t>5年</w:t>
            </w:r>
            <w:r>
              <w:rPr>
                <w:rFonts w:hint="eastAsia" w:ascii="宋体" w:hAnsi="宋体" w:eastAsia="宋体" w:cs="宋体"/>
                <w:szCs w:val="21"/>
              </w:rPr>
              <w:t>，担任过公路工程</w:t>
            </w:r>
            <w:r>
              <w:rPr>
                <w:rFonts w:hint="eastAsia" w:ascii="宋体" w:hAnsi="宋体" w:eastAsia="宋体" w:cs="宋体"/>
                <w:b/>
                <w:szCs w:val="21"/>
              </w:rPr>
              <w:t>项目总工3年,</w:t>
            </w:r>
            <w:r>
              <w:rPr>
                <w:rFonts w:hint="eastAsia" w:ascii="宋体" w:hAnsi="宋体" w:eastAsia="宋体" w:cs="宋体"/>
                <w:szCs w:val="21"/>
              </w:rPr>
              <w:t xml:space="preserve"> 并作为项目总工至少</w:t>
            </w:r>
            <w:r>
              <w:rPr>
                <w:rFonts w:hint="eastAsia" w:ascii="宋体" w:hAnsi="宋体" w:eastAsia="宋体" w:cs="宋体"/>
                <w:szCs w:val="21"/>
                <w:lang w:eastAsia="zh-CN"/>
              </w:rPr>
              <w:t>管理过一项公路工程施工（施工内容至少应同时包括路基和水泥混泥土路面工程）</w:t>
            </w:r>
            <w:r>
              <w:rPr>
                <w:rFonts w:hint="eastAsia" w:ascii="宋体" w:hAnsi="宋体" w:eastAsia="宋体" w:cs="宋体"/>
                <w:szCs w:val="21"/>
              </w:rPr>
              <w:t>。</w:t>
            </w:r>
          </w:p>
        </w:tc>
        <w:tc>
          <w:tcPr>
            <w:tcW w:w="1347" w:type="dxa"/>
            <w:vMerge w:val="continue"/>
            <w:noWrap w:val="0"/>
            <w:vAlign w:val="top"/>
          </w:tcPr>
          <w:p>
            <w:pPr>
              <w:rPr>
                <w:rFonts w:hint="eastAsia" w:ascii="宋体" w:hAnsi="宋体" w:eastAsia="宋体" w:cs="宋体"/>
                <w:b/>
                <w:szCs w:val="21"/>
              </w:rPr>
            </w:pPr>
          </w:p>
        </w:tc>
      </w:tr>
    </w:tbl>
    <w:p>
      <w:pPr>
        <w:pStyle w:val="7"/>
        <w:rPr>
          <w:rFonts w:hint="eastAsia" w:ascii="宋体" w:hAnsi="宋体" w:eastAsia="宋体" w:cs="宋体"/>
        </w:rPr>
      </w:pPr>
      <w:r>
        <w:rPr>
          <w:rFonts w:hint="eastAsia" w:ascii="宋体" w:hAnsi="宋体" w:eastAsia="宋体" w:cs="宋体"/>
        </w:rPr>
        <w:t xml:space="preserve"> </w:t>
      </w:r>
    </w:p>
    <w:p>
      <w:pPr>
        <w:pStyle w:val="7"/>
        <w:spacing w:line="360" w:lineRule="exact"/>
        <w:ind w:firstLine="480"/>
        <w:rPr>
          <w:rFonts w:hint="eastAsia" w:ascii="宋体" w:hAnsi="宋体" w:eastAsia="宋体" w:cs="宋体"/>
          <w:lang w:val="zh-CN"/>
        </w:rPr>
      </w:pPr>
      <w:r>
        <w:rPr>
          <w:rFonts w:hint="eastAsia" w:ascii="宋体" w:hAnsi="宋体" w:eastAsia="宋体" w:cs="宋体"/>
          <w:lang w:val="zh-CN"/>
        </w:rPr>
        <w:t>注：</w:t>
      </w:r>
    </w:p>
    <w:p>
      <w:pPr>
        <w:pStyle w:val="7"/>
        <w:numPr>
          <w:ilvl w:val="0"/>
          <w:numId w:val="2"/>
        </w:numPr>
        <w:spacing w:line="360" w:lineRule="exact"/>
        <w:ind w:firstLine="480"/>
        <w:rPr>
          <w:rFonts w:hint="eastAsia" w:ascii="宋体" w:hAnsi="宋体" w:eastAsia="宋体" w:cs="宋体"/>
          <w:lang w:val="en-US" w:eastAsia="zh-CN"/>
        </w:rPr>
      </w:pPr>
      <w:r>
        <w:rPr>
          <w:rFonts w:hint="eastAsia" w:ascii="宋体" w:hAnsi="宋体" w:eastAsia="宋体" w:cs="宋体"/>
          <w:lang w:val="en-US" w:eastAsia="zh-CN"/>
        </w:rPr>
        <w:t>本表所列人员不得相互兼职。</w:t>
      </w:r>
    </w:p>
    <w:p>
      <w:pPr>
        <w:pStyle w:val="7"/>
        <w:numPr>
          <w:ilvl w:val="0"/>
          <w:numId w:val="2"/>
        </w:numPr>
        <w:spacing w:line="360" w:lineRule="exact"/>
        <w:ind w:firstLine="480"/>
        <w:rPr>
          <w:rFonts w:hint="default" w:ascii="宋体" w:hAnsi="宋体" w:eastAsia="宋体" w:cs="宋体"/>
          <w:lang w:val="en-US" w:eastAsia="zh-CN"/>
        </w:rPr>
      </w:pPr>
      <w:r>
        <w:rPr>
          <w:rFonts w:hint="eastAsia" w:ascii="宋体" w:hAnsi="宋体" w:eastAsia="宋体" w:cs="宋体"/>
          <w:lang w:val="en-US" w:eastAsia="zh-CN"/>
        </w:rPr>
        <w:t>如果投标人属事业法人单位，则由投标人的上级行政主管部门出具拟委任的项目经理和项目总工是投标人单位职工的有效书面证明材料。</w:t>
      </w:r>
    </w:p>
    <w:p>
      <w:pPr>
        <w:pStyle w:val="4"/>
        <w:keepNext w:val="0"/>
        <w:keepLines w:val="0"/>
        <w:jc w:val="center"/>
        <w:rPr>
          <w:rFonts w:hint="eastAsia" w:ascii="宋体" w:hAnsi="宋体" w:eastAsia="宋体" w:cs="宋体"/>
        </w:rPr>
      </w:pPr>
      <w:bookmarkStart w:id="18" w:name="_Toc243665795"/>
      <w:bookmarkStart w:id="19" w:name="_Toc17879449"/>
    </w:p>
    <w:p>
      <w:pPr>
        <w:pStyle w:val="4"/>
        <w:keepNext w:val="0"/>
        <w:keepLines w:val="0"/>
        <w:jc w:val="center"/>
        <w:rPr>
          <w:rFonts w:hint="eastAsia" w:ascii="宋体" w:hAnsi="宋体" w:eastAsia="宋体" w:cs="宋体"/>
        </w:rPr>
      </w:pPr>
    </w:p>
    <w:p>
      <w:pPr>
        <w:pStyle w:val="4"/>
        <w:keepNext w:val="0"/>
        <w:keepLines w:val="0"/>
        <w:jc w:val="center"/>
        <w:rPr>
          <w:rFonts w:hint="eastAsia" w:ascii="宋体" w:hAnsi="宋体" w:eastAsia="宋体" w:cs="宋体"/>
        </w:rPr>
      </w:pPr>
    </w:p>
    <w:p>
      <w:pPr>
        <w:rPr>
          <w:rFonts w:hint="eastAsia" w:ascii="宋体" w:hAnsi="宋体" w:eastAsia="宋体" w:cs="宋体"/>
        </w:rPr>
      </w:pPr>
    </w:p>
    <w:p>
      <w:pPr>
        <w:pStyle w:val="8"/>
        <w:rPr>
          <w:rFonts w:hint="eastAsia" w:ascii="宋体" w:hAnsi="宋体" w:eastAsia="宋体" w:cs="宋体"/>
        </w:rPr>
      </w:pPr>
    </w:p>
    <w:p>
      <w:pPr>
        <w:pStyle w:val="4"/>
        <w:keepNext w:val="0"/>
        <w:keepLines w:val="0"/>
        <w:jc w:val="both"/>
        <w:rPr>
          <w:rFonts w:hint="eastAsia" w:ascii="宋体" w:hAnsi="宋体" w:eastAsia="宋体" w:cs="宋体"/>
        </w:rPr>
      </w:pPr>
    </w:p>
    <w:p>
      <w:pPr>
        <w:rPr>
          <w:rFonts w:hint="eastAsia"/>
        </w:rPr>
      </w:pPr>
    </w:p>
    <w:bookmarkEnd w:id="18"/>
    <w:bookmarkEnd w:id="19"/>
    <w:p>
      <w:pPr>
        <w:pStyle w:val="4"/>
        <w:spacing w:before="0" w:after="0" w:line="240" w:lineRule="auto"/>
        <w:jc w:val="both"/>
        <w:rPr>
          <w:rFonts w:ascii="黑体" w:hAnsi="黑体" w:eastAsia="黑体"/>
          <w:b w:val="0"/>
        </w:rPr>
      </w:pPr>
      <w:r>
        <w:rPr>
          <w:rFonts w:ascii="黑体" w:hAnsi="黑体" w:eastAsia="黑体"/>
          <w:b w:val="0"/>
        </w:rPr>
        <w:t xml:space="preserve">5. </w:t>
      </w:r>
      <w:r>
        <w:rPr>
          <w:rFonts w:hint="eastAsia" w:ascii="黑体" w:hAnsi="黑体" w:eastAsia="黑体"/>
          <w:b w:val="0"/>
        </w:rPr>
        <w:t>评标办法</w:t>
      </w:r>
      <w:bookmarkEnd w:id="12"/>
    </w:p>
    <w:p>
      <w:pPr>
        <w:pStyle w:val="4"/>
        <w:keepNext w:val="0"/>
        <w:keepLines w:val="0"/>
        <w:spacing w:before="0" w:after="0" w:line="415" w:lineRule="auto"/>
        <w:jc w:val="center"/>
        <w:rPr>
          <w:rFonts w:hint="eastAsia" w:ascii="宋体" w:hAnsi="宋体" w:eastAsia="宋体" w:cs="宋体"/>
          <w:b w:val="0"/>
          <w:bCs w:val="0"/>
        </w:rPr>
      </w:pPr>
      <w:bookmarkStart w:id="20" w:name="_Toc17879450"/>
      <w:bookmarkStart w:id="21" w:name="_Toc441605621"/>
      <w:bookmarkStart w:id="22" w:name="_Toc511833196"/>
      <w:r>
        <w:rPr>
          <w:rFonts w:hint="eastAsia" w:ascii="宋体" w:hAnsi="宋体" w:eastAsia="宋体" w:cs="宋体"/>
          <w:b w:val="0"/>
          <w:bCs w:val="0"/>
        </w:rPr>
        <w:t>评标办法前附表</w:t>
      </w:r>
      <w:bookmarkEnd w:id="20"/>
      <w:bookmarkEnd w:id="21"/>
      <w:bookmarkEnd w:id="22"/>
    </w:p>
    <w:tbl>
      <w:tblPr>
        <w:tblStyle w:val="10"/>
        <w:tblpPr w:leftFromText="180" w:rightFromText="180" w:vertAnchor="text" w:horzAnchor="page" w:tblpX="1414" w:tblpY="733"/>
        <w:tblOverlap w:val="never"/>
        <w:tblW w:w="0" w:type="auto"/>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394"/>
        <w:gridCol w:w="7159"/>
      </w:tblGrid>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blHeader/>
        </w:trPr>
        <w:tc>
          <w:tcPr>
            <w:tcW w:w="2328" w:type="dxa"/>
            <w:gridSpan w:val="2"/>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条款号</w:t>
            </w:r>
          </w:p>
        </w:tc>
        <w:tc>
          <w:tcPr>
            <w:tcW w:w="7159" w:type="dxa"/>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评审因素与标准</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934" w:type="dxa"/>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1</w:t>
            </w:r>
          </w:p>
        </w:tc>
        <w:tc>
          <w:tcPr>
            <w:tcW w:w="1394" w:type="dxa"/>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评标办法</w:t>
            </w:r>
          </w:p>
        </w:tc>
        <w:tc>
          <w:tcPr>
            <w:tcW w:w="7159" w:type="dxa"/>
            <w:noWrap w:val="0"/>
            <w:vAlign w:val="center"/>
          </w:tcPr>
          <w:p>
            <w:pPr>
              <w:autoSpaceDE w:val="0"/>
              <w:autoSpaceDN w:val="0"/>
              <w:adjustRightInd w:val="0"/>
              <w:spacing w:line="320" w:lineRule="exact"/>
              <w:rPr>
                <w:rFonts w:hint="eastAsia" w:ascii="宋体" w:hAnsi="宋体" w:eastAsia="宋体" w:cs="宋体"/>
              </w:rPr>
            </w:pPr>
            <w:r>
              <w:rPr>
                <w:rFonts w:hint="eastAsia" w:ascii="宋体" w:hAnsi="宋体" w:eastAsia="宋体" w:cs="宋体"/>
              </w:rPr>
              <w:t>本款修改为：</w:t>
            </w:r>
          </w:p>
          <w:p>
            <w:pPr>
              <w:autoSpaceDE w:val="0"/>
              <w:autoSpaceDN w:val="0"/>
              <w:adjustRightInd w:val="0"/>
              <w:spacing w:line="320" w:lineRule="exact"/>
              <w:ind w:firstLine="420" w:firstLineChars="200"/>
              <w:rPr>
                <w:rFonts w:hint="eastAsia" w:ascii="宋体" w:hAnsi="宋体" w:eastAsia="宋体" w:cs="宋体"/>
                <w:bCs/>
                <w:lang w:val="zh-CN"/>
              </w:rPr>
            </w:pPr>
            <w:r>
              <w:rPr>
                <w:rFonts w:hint="eastAsia" w:ascii="宋体" w:hAnsi="宋体" w:eastAsia="宋体" w:cs="宋体"/>
              </w:rPr>
              <w:t>本次评标采用</w:t>
            </w:r>
            <w:r>
              <w:rPr>
                <w:rFonts w:hint="eastAsia" w:ascii="宋体" w:hAnsi="宋体" w:eastAsia="宋体" w:cs="宋体"/>
                <w:b/>
              </w:rPr>
              <w:t>双信封技术评分最低标价法</w:t>
            </w:r>
            <w:r>
              <w:rPr>
                <w:rFonts w:hint="eastAsia" w:ascii="宋体" w:hAnsi="宋体" w:eastAsia="宋体" w:cs="宋体"/>
              </w:rPr>
              <w:t>。评标委员会对通过投标文件第一个信封（商务及技术文件）评审，综合评分前三名的</w:t>
            </w:r>
            <w:r>
              <w:rPr>
                <w:rFonts w:hint="eastAsia" w:ascii="宋体" w:hAnsi="宋体" w:eastAsia="宋体" w:cs="宋体"/>
                <w:kern w:val="0"/>
                <w:lang w:val="zh-CN"/>
              </w:rPr>
              <w:t>投标文件</w:t>
            </w:r>
            <w:r>
              <w:rPr>
                <w:rFonts w:hint="eastAsia" w:ascii="宋体" w:hAnsi="宋体" w:eastAsia="宋体" w:cs="宋体"/>
              </w:rPr>
              <w:t>第二个信封（报价文件）进行开标，按评标价由低到高的顺序</w:t>
            </w:r>
            <w:r>
              <w:rPr>
                <w:rFonts w:hint="eastAsia" w:ascii="宋体" w:hAnsi="宋体" w:eastAsia="宋体" w:cs="宋体"/>
                <w:b/>
              </w:rPr>
              <w:t>推荐</w:t>
            </w:r>
            <w:r>
              <w:rPr>
                <w:rFonts w:hint="eastAsia" w:ascii="宋体" w:hAnsi="宋体" w:eastAsia="宋体" w:cs="宋体"/>
                <w:b/>
                <w:lang w:eastAsia="zh-CN"/>
              </w:rPr>
              <w:t>三</w:t>
            </w:r>
            <w:r>
              <w:rPr>
                <w:rFonts w:hint="eastAsia" w:ascii="宋体" w:hAnsi="宋体" w:eastAsia="宋体" w:cs="宋体"/>
                <w:b/>
              </w:rPr>
              <w:t>名中标候选人</w:t>
            </w:r>
            <w:r>
              <w:rPr>
                <w:rFonts w:hint="eastAsia" w:ascii="宋体" w:hAnsi="宋体" w:eastAsia="宋体" w:cs="宋体"/>
              </w:rPr>
              <w:t>，</w:t>
            </w:r>
            <w:r>
              <w:rPr>
                <w:rFonts w:hint="eastAsia" w:ascii="宋体" w:hAnsi="宋体" w:eastAsia="宋体" w:cs="宋体"/>
                <w:bCs/>
                <w:lang w:val="zh-CN"/>
              </w:rPr>
              <w:t>但投标报价低于其成本的除外。</w:t>
            </w:r>
            <w:r>
              <w:rPr>
                <w:rFonts w:hint="eastAsia" w:ascii="宋体" w:hAnsi="宋体" w:eastAsia="宋体" w:cs="宋体"/>
              </w:rPr>
              <w:t>本项目设置投标控制价上限，高于投标控制价上限作否决处理。如评标委员会认为投标报价低于成本的，评标委员会将否决其投标。</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招标评标程序简介如下：</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（1）招标人按照第二章“投标人须知”</w:t>
            </w:r>
            <w:r>
              <w:rPr>
                <w:rFonts w:hint="eastAsia" w:ascii="宋体" w:hAnsi="宋体" w:eastAsia="宋体" w:cs="宋体"/>
                <w:b/>
              </w:rPr>
              <w:t>第5.2.1项</w:t>
            </w:r>
            <w:r>
              <w:rPr>
                <w:rFonts w:hint="eastAsia" w:ascii="宋体" w:hAnsi="宋体" w:eastAsia="宋体" w:cs="宋体"/>
              </w:rPr>
              <w:t>的规定对投标文件第一个信封（商务及技术文件）进行开标。</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（2）评标委员会首先对投标文件第一个信封（商务及技术文件）进行评审、评分，确定通过投标文件第一个信封（商务及技术文件）评审的投标人名单及排序。</w:t>
            </w:r>
          </w:p>
          <w:p>
            <w:pPr>
              <w:adjustRightInd w:val="0"/>
              <w:snapToGrid w:val="0"/>
              <w:spacing w:before="46" w:beforeLines="15" w:after="46" w:afterLines="15" w:line="360" w:lineRule="exact"/>
              <w:ind w:firstLine="422" w:firstLineChars="200"/>
              <w:rPr>
                <w:rFonts w:hint="eastAsia" w:ascii="宋体" w:hAnsi="宋体" w:eastAsia="宋体" w:cs="宋体"/>
                <w:b/>
              </w:rPr>
            </w:pPr>
            <w:r>
              <w:rPr>
                <w:rFonts w:hint="eastAsia" w:ascii="宋体" w:hAnsi="宋体" w:eastAsia="宋体" w:cs="宋体"/>
                <w:b/>
              </w:rPr>
              <w:t>如同一标段出现多名投标人的第一信封（商务及技术文件）综合得分相等时，则按照以下所列顺位在前的优先：</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a.主要人员得分较高者；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b.施工组织设计得分较高者；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c.履约信誉得分较高者；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d.技术能力得分较高者。</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若第一信封评审时以上各项评分因素得分都相等，则通过评委会投票表决，推荐票数多的投标人排序在先。</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（3）招标人按照第二章“投标人须知”</w:t>
            </w:r>
            <w:r>
              <w:rPr>
                <w:rFonts w:hint="eastAsia" w:ascii="宋体" w:hAnsi="宋体" w:eastAsia="宋体" w:cs="宋体"/>
                <w:b/>
              </w:rPr>
              <w:t>第5.2.3项</w:t>
            </w:r>
            <w:r>
              <w:rPr>
                <w:rFonts w:hint="eastAsia" w:ascii="宋体" w:hAnsi="宋体" w:eastAsia="宋体" w:cs="宋体"/>
              </w:rPr>
              <w:t>的规定对通过第一信封评审且综合评分前三名的投标人其第二个信封（报价文件）进行开标。</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（4）评标委员会对开标的投标文件第二个信封（报价文件）进行评审，并按评标价由低到高的顺序推荐</w:t>
            </w:r>
            <w:r>
              <w:rPr>
                <w:rFonts w:hint="eastAsia" w:ascii="宋体" w:hAnsi="宋体" w:eastAsia="宋体" w:cs="宋体"/>
                <w:lang w:eastAsia="zh-CN"/>
              </w:rPr>
              <w:t>三</w:t>
            </w:r>
            <w:r>
              <w:rPr>
                <w:rFonts w:hint="eastAsia" w:ascii="宋体" w:hAnsi="宋体" w:eastAsia="宋体" w:cs="宋体"/>
              </w:rPr>
              <w:t>名中标候选人。</w:t>
            </w:r>
          </w:p>
          <w:p>
            <w:pPr>
              <w:autoSpaceDE w:val="0"/>
              <w:autoSpaceDN w:val="0"/>
              <w:adjustRightInd w:val="0"/>
              <w:spacing w:line="320" w:lineRule="exact"/>
              <w:ind w:firstLine="420" w:firstLineChars="200"/>
              <w:rPr>
                <w:rFonts w:hint="eastAsia" w:ascii="宋体" w:hAnsi="宋体" w:eastAsia="宋体" w:cs="宋体"/>
                <w:szCs w:val="21"/>
              </w:rPr>
            </w:pPr>
            <w:r>
              <w:rPr>
                <w:rFonts w:hint="eastAsia" w:ascii="宋体" w:hAnsi="宋体" w:eastAsia="宋体" w:cs="宋体"/>
              </w:rPr>
              <w:t>检查是否有围标、串标情况，如有相关投标文件将被否决。</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3" w:hRule="atLeast"/>
        </w:trPr>
        <w:tc>
          <w:tcPr>
            <w:tcW w:w="934" w:type="dxa"/>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2.1.1</w:t>
            </w:r>
          </w:p>
        </w:tc>
        <w:tc>
          <w:tcPr>
            <w:tcW w:w="1394" w:type="dxa"/>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szCs w:val="21"/>
              </w:rPr>
              <w:t>第一个信封</w:t>
            </w:r>
          </w:p>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形式评审</w:t>
            </w:r>
          </w:p>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与响应性</w:t>
            </w:r>
          </w:p>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评审标准</w:t>
            </w:r>
          </w:p>
        </w:tc>
        <w:tc>
          <w:tcPr>
            <w:tcW w:w="7159" w:type="dxa"/>
            <w:tcBorders>
              <w:top w:val="single" w:color="auto" w:sz="4" w:space="0"/>
              <w:bottom w:val="single" w:color="auto" w:sz="4" w:space="0"/>
            </w:tcBorders>
            <w:noWrap w:val="0"/>
            <w:vAlign w:val="center"/>
          </w:tcPr>
          <w:p>
            <w:pPr>
              <w:adjustRightInd w:val="0"/>
              <w:snapToGrid w:val="0"/>
              <w:rPr>
                <w:rFonts w:hint="eastAsia" w:ascii="宋体" w:hAnsi="宋体" w:eastAsia="宋体" w:cs="宋体"/>
                <w:szCs w:val="21"/>
              </w:rPr>
            </w:pPr>
            <w:r>
              <w:rPr>
                <w:rFonts w:hint="eastAsia" w:ascii="宋体" w:hAnsi="宋体" w:eastAsia="宋体" w:cs="宋体"/>
                <w:szCs w:val="21"/>
              </w:rPr>
              <w:t>第一个信封（商务及技术文件）</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(1)投标文件按照招标文件规定的格式、内容填写，字迹清晰可辨：</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a.投标函按招标文件规定填报了项目名称、标段号、补遗书编号（如有）、工期、工程质量要求及安全目标 ；</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b.投标函附录的所有数据均符合招标文件规定；</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c.投标文件组成齐全完整 ，内容均按规定填写。</w:t>
            </w:r>
          </w:p>
          <w:p>
            <w:pPr>
              <w:autoSpaceDE w:val="0"/>
              <w:autoSpaceDN w:val="0"/>
              <w:adjustRightInd w:val="0"/>
              <w:spacing w:line="320" w:lineRule="exact"/>
              <w:ind w:firstLine="315" w:firstLineChars="150"/>
              <w:jc w:val="left"/>
              <w:rPr>
                <w:rFonts w:hint="eastAsia" w:ascii="宋体" w:hAnsi="宋体" w:eastAsia="宋体" w:cs="宋体"/>
                <w:bCs/>
                <w:szCs w:val="21"/>
                <w:lang w:val="zh-CN"/>
              </w:rPr>
            </w:pPr>
            <w:r>
              <w:rPr>
                <w:rFonts w:hint="eastAsia" w:ascii="宋体" w:hAnsi="宋体" w:eastAsia="宋体" w:cs="宋体"/>
                <w:bCs/>
                <w:szCs w:val="21"/>
                <w:lang w:val="zh-CN"/>
              </w:rPr>
              <w:t xml:space="preserve"> (2)投标文件上法定代表人或其授权代理人的签字、投标人的单位章盖章齐全，符合招标文件规定。</w:t>
            </w:r>
          </w:p>
          <w:p>
            <w:pPr>
              <w:adjustRightInd w:val="0"/>
              <w:snapToGrid w:val="0"/>
              <w:spacing w:before="31" w:beforeLines="10" w:after="31" w:afterLines="10"/>
              <w:ind w:firstLine="420" w:firstLineChars="200"/>
              <w:rPr>
                <w:rFonts w:hint="eastAsia" w:ascii="宋体" w:hAnsi="宋体" w:eastAsia="宋体" w:cs="宋体"/>
                <w:szCs w:val="21"/>
              </w:rPr>
            </w:pPr>
            <w:r>
              <w:rPr>
                <w:rFonts w:hint="eastAsia" w:ascii="宋体" w:hAnsi="宋体" w:eastAsia="宋体" w:cs="宋体"/>
                <w:bCs/>
                <w:szCs w:val="21"/>
                <w:lang w:val="zh-CN"/>
              </w:rPr>
              <w:t>(3)</w:t>
            </w:r>
            <w:r>
              <w:rPr>
                <w:rFonts w:hint="eastAsia" w:ascii="宋体" w:hAnsi="宋体" w:eastAsia="宋体" w:cs="宋体"/>
                <w:szCs w:val="21"/>
              </w:rPr>
              <w:t xml:space="preserve"> 投标人按照招标文件规定提供了投标保证金：</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a.投标保证金金额符合招标文件规定的金额，且投标保证金有效期不少于投标有效期；</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b. 若投标保证金采用现</w:t>
            </w:r>
            <w:r>
              <w:rPr>
                <w:rFonts w:hint="eastAsia" w:ascii="宋体" w:hAnsi="宋体" w:eastAsia="宋体" w:cs="宋体"/>
                <w:bCs/>
                <w:sz w:val="21"/>
                <w:szCs w:val="21"/>
                <w:lang w:val="zh-CN"/>
              </w:rPr>
              <w:t>金或支票形式提交，投标人应在</w:t>
            </w:r>
            <w:r>
              <w:rPr>
                <w:rFonts w:hint="eastAsia" w:ascii="宋体" w:hAnsi="宋体" w:eastAsia="宋体" w:cs="宋体"/>
                <w:sz w:val="21"/>
                <w:szCs w:val="21"/>
              </w:rPr>
              <w:t>递交投标保证金截止时间</w:t>
            </w:r>
            <w:r>
              <w:rPr>
                <w:rFonts w:hint="eastAsia" w:ascii="宋体" w:hAnsi="宋体" w:eastAsia="宋体" w:cs="宋体"/>
                <w:bCs/>
                <w:sz w:val="21"/>
                <w:szCs w:val="21"/>
                <w:lang w:val="zh-CN"/>
              </w:rPr>
              <w:t>之</w:t>
            </w:r>
            <w:r>
              <w:rPr>
                <w:rFonts w:hint="eastAsia" w:ascii="宋体" w:hAnsi="宋体" w:eastAsia="宋体" w:cs="宋体"/>
                <w:bCs/>
                <w:szCs w:val="21"/>
                <w:lang w:val="zh-CN"/>
              </w:rPr>
              <w:t>前，将投标保证金由投标人的基本账户转入招标人指定账户；</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c．若投标保证金采用银行保函形式提交，银行保函的格式、开具保函的银行均满足招标文件要求，且在</w:t>
            </w:r>
            <w:r>
              <w:rPr>
                <w:rFonts w:hint="eastAsia" w:ascii="宋体" w:hAnsi="宋体" w:eastAsia="宋体" w:cs="宋体"/>
                <w:sz w:val="21"/>
                <w:szCs w:val="21"/>
              </w:rPr>
              <w:t>递交投标保证金截止时间</w:t>
            </w:r>
            <w:r>
              <w:rPr>
                <w:rFonts w:hint="eastAsia" w:ascii="宋体" w:hAnsi="宋体" w:eastAsia="宋体" w:cs="宋体"/>
                <w:bCs/>
                <w:szCs w:val="21"/>
                <w:lang w:val="zh-CN"/>
              </w:rPr>
              <w:t>之前向招标人提交了银行保函原件</w:t>
            </w:r>
            <w:r>
              <w:rPr>
                <w:rFonts w:hint="eastAsia" w:ascii="宋体" w:hAnsi="宋体" w:eastAsia="宋体" w:cs="宋体"/>
                <w:szCs w:val="21"/>
                <w:lang w:val="zh-CN" w:eastAsia="zh-CN"/>
              </w:rPr>
              <w:t>（提供担保保函的银行，经营范围中应具有“提供信用证服务及担保”业务）或担保公司保函原件（提供担保的担保公司应具有工信部门核发的《中华人民共和国融资性担保机构经营许可证》。</w:t>
            </w:r>
          </w:p>
          <w:p>
            <w:pPr>
              <w:autoSpaceDE w:val="0"/>
              <w:autoSpaceDN w:val="0"/>
              <w:adjustRightInd w:val="0"/>
              <w:spacing w:line="320" w:lineRule="exact"/>
              <w:ind w:firstLine="420" w:firstLineChars="200"/>
              <w:jc w:val="left"/>
              <w:rPr>
                <w:rFonts w:hint="eastAsia" w:ascii="宋体" w:hAnsi="宋体" w:eastAsia="宋体" w:cs="宋体"/>
                <w:szCs w:val="24"/>
              </w:rPr>
            </w:pPr>
            <w:r>
              <w:rPr>
                <w:rFonts w:hint="eastAsia" w:ascii="宋体" w:hAnsi="宋体" w:eastAsia="宋体" w:cs="宋体"/>
                <w:bCs/>
                <w:szCs w:val="21"/>
                <w:lang w:val="zh-CN"/>
              </w:rPr>
              <w:t>(4)</w:t>
            </w:r>
            <w:r>
              <w:rPr>
                <w:rFonts w:hint="eastAsia" w:ascii="宋体" w:hAnsi="宋体" w:eastAsia="宋体" w:cs="宋体"/>
                <w:szCs w:val="24"/>
              </w:rPr>
              <w:t xml:space="preserve"> 投标人法定代表人授权委托代理人签署投标文件的，需提交授权委托书，且授权人和被授权人均在授权委托书上签名，未使用印章、签名章或其他电子制版签名代替。</w:t>
            </w:r>
          </w:p>
          <w:p>
            <w:pPr>
              <w:autoSpaceDE w:val="0"/>
              <w:autoSpaceDN w:val="0"/>
              <w:adjustRightInd w:val="0"/>
              <w:spacing w:line="320" w:lineRule="exact"/>
              <w:ind w:firstLine="420" w:firstLineChars="200"/>
              <w:jc w:val="left"/>
              <w:rPr>
                <w:rFonts w:hint="eastAsia" w:ascii="宋体" w:hAnsi="宋体" w:eastAsia="宋体" w:cs="宋体"/>
                <w:szCs w:val="21"/>
              </w:rPr>
            </w:pPr>
            <w:r>
              <w:rPr>
                <w:rFonts w:hint="eastAsia" w:ascii="宋体" w:hAnsi="宋体" w:eastAsia="宋体" w:cs="宋体"/>
                <w:bCs/>
                <w:szCs w:val="21"/>
                <w:lang w:val="zh-CN"/>
              </w:rPr>
              <w:t>(5)</w:t>
            </w:r>
            <w:r>
              <w:rPr>
                <w:rFonts w:hint="eastAsia" w:ascii="宋体" w:hAnsi="宋体" w:eastAsia="宋体" w:cs="宋体"/>
                <w:szCs w:val="21"/>
              </w:rPr>
              <w:t>投标人法定代表人亲自签署投标文件的，提供了法定代表人身份证明，且法定代表人在法定代表人身份证明上签名，未使用印章、签名章或其他电子制版签名代替。</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(6)投标人未以联合体形式投标。</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(7)投标人未有分包计划。</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(8)同一投标人未提交两个以上不同的投标文件，但招标文件要求提交备选投标的除外。</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(9)投标文件中未出现有关投标报价的内容。</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(10)投标文件载明的招标项目完成期限未超过招标文件规定的时限。</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(11)投标文件</w:t>
            </w:r>
            <w:r>
              <w:rPr>
                <w:rFonts w:hint="eastAsia" w:ascii="宋体" w:hAnsi="宋体" w:eastAsia="宋体" w:cs="宋体"/>
                <w:kern w:val="0"/>
                <w:sz w:val="22"/>
              </w:rPr>
              <w:t>对</w:t>
            </w:r>
            <w:r>
              <w:rPr>
                <w:rFonts w:hint="eastAsia" w:ascii="宋体" w:hAnsi="宋体" w:eastAsia="宋体" w:cs="宋体"/>
                <w:bCs/>
                <w:szCs w:val="21"/>
                <w:lang w:val="zh-CN"/>
              </w:rPr>
              <w:t>招标文件的实质性要求和条件作出响应。</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(12)权利义务符合招标文件规定：</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a.投标人应接受招标文件规定的风险划分原则，未提出新的风险划分办法；</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b.投标人未增加发包人的责任范围、或减少投标人的义务；</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c.投标人未提出不同的工程验收、计量、支付办法；</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d.投标人对合同纠纷、事故处理办法未提出异议；</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e.投标人在投标活动中无欺诈行为；</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f.投标人未对合同条款有重要保留。</w:t>
            </w:r>
          </w:p>
          <w:p>
            <w:pPr>
              <w:adjustRightInd w:val="0"/>
              <w:snapToGrid w:val="0"/>
              <w:spacing w:before="31" w:beforeLines="10" w:after="31" w:afterLines="10"/>
              <w:ind w:firstLine="420" w:firstLineChars="200"/>
              <w:rPr>
                <w:rFonts w:hint="eastAsia" w:ascii="宋体" w:hAnsi="宋体" w:eastAsia="宋体" w:cs="宋体"/>
                <w:szCs w:val="21"/>
                <w:lang w:val="zh-CN"/>
              </w:rPr>
            </w:pPr>
            <w:r>
              <w:rPr>
                <w:rFonts w:hint="eastAsia" w:ascii="宋体" w:hAnsi="宋体" w:eastAsia="宋体" w:cs="宋体"/>
                <w:bCs/>
                <w:szCs w:val="21"/>
                <w:lang w:val="zh-CN"/>
              </w:rPr>
              <w:t>(13)</w:t>
            </w:r>
            <w:r>
              <w:rPr>
                <w:rFonts w:hint="eastAsia" w:ascii="宋体" w:hAnsi="宋体" w:eastAsia="宋体" w:cs="宋体"/>
                <w:color w:val="000000"/>
                <w:sz w:val="22"/>
                <w:lang w:val="zh-TW" w:eastAsia="zh-TW" w:bidi="zh-TW"/>
              </w:rPr>
              <w:t xml:space="preserve"> </w:t>
            </w:r>
            <w:r>
              <w:rPr>
                <w:rFonts w:hint="eastAsia" w:ascii="宋体" w:hAnsi="宋体" w:eastAsia="宋体" w:cs="宋体"/>
                <w:bCs/>
                <w:szCs w:val="21"/>
                <w:lang w:val="zh-CN"/>
              </w:rPr>
              <w:t>投标文件正、副本份数符合招标文件第二章“投标人须知” 第3.7.4项规定。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hint="eastAsia" w:ascii="宋体" w:hAnsi="宋体" w:eastAsia="宋体" w:cs="宋体"/>
                <w:szCs w:val="21"/>
              </w:rPr>
            </w:pPr>
            <w:r>
              <w:rPr>
                <w:rFonts w:hint="eastAsia" w:ascii="宋体" w:hAnsi="宋体" w:eastAsia="宋体" w:cs="宋体"/>
                <w:bCs/>
                <w:szCs w:val="21"/>
                <w:lang w:val="zh-CN"/>
              </w:rPr>
              <w:t>2.1.3</w:t>
            </w:r>
          </w:p>
        </w:tc>
        <w:tc>
          <w:tcPr>
            <w:tcW w:w="139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szCs w:val="21"/>
              </w:rPr>
              <w:t>第二个信封</w:t>
            </w:r>
          </w:p>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bCs/>
                <w:szCs w:val="21"/>
                <w:lang w:val="zh-CN"/>
              </w:rPr>
              <w:t>形式评审</w:t>
            </w:r>
          </w:p>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bCs/>
                <w:szCs w:val="21"/>
                <w:lang w:val="zh-CN"/>
              </w:rPr>
              <w:t>与响应性</w:t>
            </w:r>
          </w:p>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bCs/>
                <w:szCs w:val="21"/>
                <w:lang w:val="zh-CN"/>
              </w:rPr>
              <w:t>评审标准</w:t>
            </w:r>
          </w:p>
        </w:tc>
        <w:tc>
          <w:tcPr>
            <w:tcW w:w="715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62" w:beforeLines="20" w:after="62" w:afterLines="20"/>
              <w:rPr>
                <w:rFonts w:hint="eastAsia" w:ascii="宋体" w:hAnsi="宋体" w:eastAsia="宋体" w:cs="宋体"/>
                <w:szCs w:val="21"/>
              </w:rPr>
            </w:pPr>
            <w:r>
              <w:rPr>
                <w:rFonts w:hint="eastAsia" w:ascii="宋体" w:hAnsi="宋体" w:eastAsia="宋体" w:cs="宋体"/>
                <w:szCs w:val="21"/>
              </w:rPr>
              <w:t>第二个信封（报价文件）</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(1)投标文件按照招标文件规定的格式、内容填写、字迹清晰可辨：</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a．投标函按招标文件规定填报了项目名称、标段号、补遗书编号（如有)、投标价（包括大写金额和小写金额)；</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b．已标价工程量清单说明文字与招标文件规定一致，未进行实质性修改和删减；</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c．投标文件组成齐全完整，内容均按规定填写。</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(2)投标文件上法定代表人或其委托代理人的签字、投标人的单位章盖章齐全，符合招标文件规定。</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(3)投标报价中的报价未超过招标文件设定的最高投标限价。</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(4)投标报价中报价的大写金额能够确定具体数值。</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(5)同一投标人未提交两个以上不同的投标报价，但招标文件要求提交备选投标的除外。</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(6)投标人若填写工程量固化清单，填写完毕的工程量固化清单未对工程量固化清单电子文件中的数据、格式和运算定义进行修改；工程量固化清单中的投标报价和投标函大写金额报价一致。</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(7)投标文件正、副本份数符合招标文件第二章“投标人须知”第 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hint="eastAsia" w:ascii="宋体" w:hAnsi="宋体" w:eastAsia="宋体" w:cs="宋体"/>
                <w:bCs/>
                <w:szCs w:val="21"/>
                <w:lang w:val="zh-CN"/>
              </w:rPr>
            </w:pPr>
            <w:r>
              <w:rPr>
                <w:rFonts w:hint="eastAsia" w:ascii="宋体" w:hAnsi="宋体" w:eastAsia="宋体" w:cs="宋体"/>
                <w:bCs/>
                <w:szCs w:val="21"/>
                <w:lang w:val="zh-CN"/>
              </w:rPr>
              <w:t>2.1.2</w:t>
            </w:r>
          </w:p>
        </w:tc>
        <w:tc>
          <w:tcPr>
            <w:tcW w:w="1394" w:type="dxa"/>
            <w:tcBorders>
              <w:top w:val="single" w:color="auto" w:sz="4" w:space="0"/>
              <w:left w:val="single" w:color="auto" w:sz="4" w:space="0"/>
              <w:bottom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szCs w:val="21"/>
              </w:rPr>
              <w:t>第一个信封</w:t>
            </w:r>
          </w:p>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资格</w:t>
            </w:r>
          </w:p>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bCs/>
                <w:szCs w:val="21"/>
                <w:lang w:val="zh-CN"/>
              </w:rPr>
              <w:t>评审标准</w:t>
            </w:r>
          </w:p>
        </w:tc>
        <w:tc>
          <w:tcPr>
            <w:tcW w:w="7159" w:type="dxa"/>
            <w:tcBorders>
              <w:top w:val="single" w:color="auto" w:sz="4" w:space="0"/>
              <w:bottom w:val="single" w:color="auto" w:sz="4" w:space="0"/>
            </w:tcBorders>
            <w:noWrap w:val="0"/>
            <w:vAlign w:val="center"/>
          </w:tcPr>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(1)投标人具备有效的营业执照、</w:t>
            </w:r>
            <w:r>
              <w:rPr>
                <w:rFonts w:hint="eastAsia" w:ascii="宋体" w:hAnsi="宋体" w:eastAsia="宋体" w:cs="宋体"/>
                <w:sz w:val="21"/>
                <w:szCs w:val="21"/>
              </w:rPr>
              <w:t>资质证书、安全生产许可证</w:t>
            </w:r>
            <w:r>
              <w:rPr>
                <w:rFonts w:hint="eastAsia" w:ascii="宋体" w:hAnsi="宋体" w:eastAsia="宋体" w:cs="宋体"/>
                <w:sz w:val="28"/>
                <w:szCs w:val="28"/>
                <w:lang w:eastAsia="zh-CN"/>
              </w:rPr>
              <w:t>、</w:t>
            </w:r>
            <w:r>
              <w:rPr>
                <w:rFonts w:hint="eastAsia" w:ascii="宋体" w:hAnsi="宋体" w:eastAsia="宋体" w:cs="宋体"/>
                <w:szCs w:val="21"/>
              </w:rPr>
              <w:t>基本账户开户许可证</w:t>
            </w:r>
            <w:r>
              <w:rPr>
                <w:rFonts w:hint="eastAsia" w:ascii="宋体" w:hAnsi="宋体" w:eastAsia="宋体" w:cs="宋体"/>
                <w:szCs w:val="21"/>
                <w:lang w:eastAsia="zh-CN"/>
              </w:rPr>
              <w:t>（或其他基本账户证明材料）。</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(2)投标人的财务状况符合招标文件规定。</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(3)投标人的类似项目业绩符合招标文件规定。</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(4)投标人的信誉符合招标文件规定。</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(5)投标人的项目经理和项目总工资格在岗情况符合招标文件规定，且提供了满足招标文件要求的证明材料。</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(6)投标人不存在第二章“投标人须知”第1.4.3项或1.4.4项规定的任何一种情形。</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7</w:t>
            </w:r>
            <w:r>
              <w:rPr>
                <w:rFonts w:hint="eastAsia" w:ascii="宋体" w:hAnsi="宋体" w:eastAsia="宋体" w:cs="宋体"/>
                <w:szCs w:val="21"/>
              </w:rPr>
              <w:t>)投标人未以联合体形式参与投标。</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8</w:t>
            </w:r>
            <w:r>
              <w:rPr>
                <w:rFonts w:hint="eastAsia" w:ascii="宋体" w:hAnsi="宋体" w:eastAsia="宋体" w:cs="宋体"/>
                <w:szCs w:val="21"/>
              </w:rPr>
              <w:t>)与招标人存在利害关系可能影响招标公正性的法人、其他组织或者个人，不得参加投标；单位负责人为同一人或者存在控股、管理关系的不同单位，不得参加同一标段投标。如出现本款所述的情况，相关投标人的投标文件均不能通过评审。</w:t>
            </w:r>
          </w:p>
        </w:tc>
      </w:tr>
    </w:tbl>
    <w:p>
      <w:pPr>
        <w:rPr>
          <w:rFonts w:hint="eastAsia" w:ascii="宋体" w:hAnsi="宋体" w:eastAsia="宋体" w:cs="宋体"/>
        </w:rPr>
      </w:pPr>
      <w:r>
        <w:rPr>
          <w:rFonts w:hint="eastAsia" w:ascii="宋体" w:hAnsi="宋体" w:eastAsia="宋体" w:cs="宋体"/>
        </w:rPr>
        <w:br w:type="page"/>
      </w:r>
    </w:p>
    <w:tbl>
      <w:tblPr>
        <w:tblStyle w:val="10"/>
        <w:tblW w:w="0" w:type="auto"/>
        <w:tblInd w:w="0" w:type="dxa"/>
        <w:tblLayout w:type="fixed"/>
        <w:tblCellMar>
          <w:top w:w="0" w:type="dxa"/>
          <w:left w:w="108" w:type="dxa"/>
          <w:bottom w:w="0" w:type="dxa"/>
          <w:right w:w="108" w:type="dxa"/>
        </w:tblCellMar>
      </w:tblPr>
      <w:tblGrid>
        <w:gridCol w:w="2376"/>
        <w:gridCol w:w="1619"/>
        <w:gridCol w:w="5492"/>
      </w:tblGrid>
      <w:tr>
        <w:tblPrEx>
          <w:tblCellMar>
            <w:top w:w="0" w:type="dxa"/>
            <w:left w:w="108" w:type="dxa"/>
            <w:bottom w:w="0" w:type="dxa"/>
            <w:right w:w="108" w:type="dxa"/>
          </w:tblCellMar>
        </w:tblPrEx>
        <w:trPr>
          <w:tblHeader/>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hint="eastAsia" w:ascii="宋体" w:hAnsi="宋体" w:eastAsia="宋体" w:cs="宋体"/>
                <w:bCs/>
                <w:szCs w:val="21"/>
                <w:lang w:val="zh-CN"/>
              </w:rPr>
            </w:pPr>
            <w:r>
              <w:rPr>
                <w:rFonts w:hint="eastAsia" w:ascii="宋体" w:hAnsi="宋体" w:eastAsia="宋体" w:cs="宋体"/>
                <w:bCs/>
                <w:szCs w:val="21"/>
                <w:lang w:val="zh-CN"/>
              </w:rPr>
              <w:t>条款号</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hint="eastAsia" w:ascii="宋体" w:hAnsi="宋体" w:eastAsia="宋体" w:cs="宋体"/>
                <w:bCs/>
                <w:szCs w:val="21"/>
                <w:lang w:val="zh-CN"/>
              </w:rPr>
            </w:pPr>
            <w:r>
              <w:rPr>
                <w:rFonts w:hint="eastAsia" w:ascii="宋体" w:hAnsi="宋体" w:eastAsia="宋体" w:cs="宋体"/>
                <w:bCs/>
                <w:szCs w:val="21"/>
                <w:lang w:val="zh-CN"/>
              </w:rPr>
              <w:t>条款内容</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hint="eastAsia" w:ascii="宋体" w:hAnsi="宋体" w:eastAsia="宋体" w:cs="宋体"/>
                <w:bCs/>
                <w:szCs w:val="21"/>
                <w:lang w:val="zh-CN"/>
              </w:rPr>
            </w:pPr>
            <w:r>
              <w:rPr>
                <w:rFonts w:hint="eastAsia" w:ascii="宋体" w:hAnsi="宋体" w:eastAsia="宋体" w:cs="宋体"/>
                <w:bCs/>
                <w:szCs w:val="21"/>
                <w:lang w:val="zh-CN"/>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hint="eastAsia" w:ascii="宋体" w:hAnsi="宋体" w:eastAsia="宋体" w:cs="宋体"/>
                <w:bCs/>
                <w:szCs w:val="21"/>
                <w:lang w:val="zh-CN"/>
              </w:rPr>
            </w:pPr>
            <w:r>
              <w:rPr>
                <w:rFonts w:hint="eastAsia" w:ascii="宋体" w:hAnsi="宋体" w:eastAsia="宋体" w:cs="宋体"/>
                <w:bCs/>
                <w:szCs w:val="21"/>
                <w:lang w:val="zh-CN"/>
              </w:rPr>
              <w:t>2.2.1</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line="360" w:lineRule="exact"/>
              <w:jc w:val="center"/>
              <w:rPr>
                <w:rFonts w:hint="eastAsia" w:ascii="宋体" w:hAnsi="宋体" w:eastAsia="宋体" w:cs="宋体"/>
                <w:szCs w:val="21"/>
              </w:rPr>
            </w:pPr>
            <w:r>
              <w:rPr>
                <w:rFonts w:hint="eastAsia" w:ascii="宋体" w:hAnsi="宋体" w:eastAsia="宋体" w:cs="宋体"/>
                <w:szCs w:val="21"/>
              </w:rPr>
              <w:t>分值构成</w:t>
            </w:r>
          </w:p>
          <w:p>
            <w:pPr>
              <w:adjustRightInd w:val="0"/>
              <w:snapToGrid w:val="0"/>
              <w:spacing w:before="46" w:beforeLines="15" w:after="46" w:afterLines="15" w:line="360" w:lineRule="exact"/>
              <w:jc w:val="center"/>
              <w:rPr>
                <w:rFonts w:hint="eastAsia" w:ascii="宋体" w:hAnsi="宋体" w:eastAsia="宋体" w:cs="宋体"/>
                <w:szCs w:val="21"/>
              </w:rPr>
            </w:pPr>
            <w:r>
              <w:rPr>
                <w:rFonts w:hint="eastAsia" w:ascii="宋体" w:hAnsi="宋体" w:eastAsia="宋体" w:cs="宋体"/>
                <w:szCs w:val="21"/>
              </w:rPr>
              <w:t>（总分100分）</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line="360" w:lineRule="exact"/>
              <w:jc w:val="both"/>
              <w:rPr>
                <w:rFonts w:hint="eastAsia" w:ascii="宋体" w:hAnsi="宋体" w:eastAsia="宋体" w:cs="宋体"/>
                <w:szCs w:val="21"/>
              </w:rPr>
            </w:pPr>
            <w:r>
              <w:rPr>
                <w:rFonts w:hint="eastAsia" w:ascii="宋体" w:hAnsi="宋体" w:eastAsia="宋体" w:cs="宋体"/>
                <w:szCs w:val="21"/>
              </w:rPr>
              <w:t>施工组织设计：40分</w:t>
            </w:r>
          </w:p>
          <w:p>
            <w:pPr>
              <w:adjustRightInd w:val="0"/>
              <w:snapToGrid w:val="0"/>
              <w:spacing w:before="46" w:beforeLines="15" w:after="46" w:afterLines="15" w:line="360" w:lineRule="exact"/>
              <w:jc w:val="both"/>
              <w:rPr>
                <w:rFonts w:hint="eastAsia" w:ascii="宋体" w:hAnsi="宋体" w:eastAsia="宋体" w:cs="宋体"/>
                <w:szCs w:val="21"/>
              </w:rPr>
            </w:pPr>
            <w:r>
              <w:rPr>
                <w:rFonts w:hint="eastAsia" w:ascii="宋体" w:hAnsi="宋体" w:eastAsia="宋体" w:cs="宋体"/>
                <w:szCs w:val="21"/>
              </w:rPr>
              <w:t>主要人员：</w:t>
            </w:r>
            <w:r>
              <w:rPr>
                <w:rFonts w:hint="eastAsia" w:ascii="宋体" w:hAnsi="宋体" w:eastAsia="宋体" w:cs="宋体"/>
                <w:szCs w:val="21"/>
                <w:lang w:val="en-US" w:eastAsia="zh-CN"/>
              </w:rPr>
              <w:t>30</w:t>
            </w:r>
            <w:r>
              <w:rPr>
                <w:rFonts w:hint="eastAsia" w:ascii="宋体" w:hAnsi="宋体" w:eastAsia="宋体" w:cs="宋体"/>
                <w:szCs w:val="21"/>
              </w:rPr>
              <w:t>分</w:t>
            </w:r>
          </w:p>
          <w:p>
            <w:pPr>
              <w:adjustRightInd w:val="0"/>
              <w:snapToGrid w:val="0"/>
              <w:spacing w:before="46" w:beforeLines="15" w:after="46" w:afterLines="15" w:line="360" w:lineRule="exact"/>
              <w:jc w:val="both"/>
              <w:rPr>
                <w:rFonts w:hint="eastAsia" w:ascii="宋体" w:hAnsi="宋体" w:eastAsia="宋体" w:cs="宋体"/>
                <w:szCs w:val="21"/>
              </w:rPr>
            </w:pPr>
            <w:r>
              <w:rPr>
                <w:rFonts w:hint="eastAsia" w:ascii="宋体" w:hAnsi="宋体" w:eastAsia="宋体" w:cs="宋体"/>
                <w:szCs w:val="21"/>
              </w:rPr>
              <w:t>其 他 因 素：</w:t>
            </w:r>
            <w:r>
              <w:rPr>
                <w:rFonts w:hint="eastAsia" w:ascii="宋体" w:hAnsi="宋体" w:eastAsia="宋体" w:cs="宋体"/>
                <w:szCs w:val="21"/>
                <w:lang w:val="en-US" w:eastAsia="zh-CN"/>
              </w:rPr>
              <w:t>30</w:t>
            </w:r>
            <w:r>
              <w:rPr>
                <w:rFonts w:hint="eastAsia" w:ascii="宋体" w:hAnsi="宋体" w:eastAsia="宋体" w:cs="宋体"/>
                <w:szCs w:val="21"/>
              </w:rPr>
              <w:t>分</w:t>
            </w:r>
          </w:p>
          <w:p>
            <w:pPr>
              <w:adjustRightInd w:val="0"/>
              <w:snapToGrid w:val="0"/>
              <w:spacing w:before="46" w:beforeLines="15" w:after="46" w:afterLines="15" w:line="360" w:lineRule="exact"/>
              <w:jc w:val="both"/>
              <w:rPr>
                <w:rFonts w:hint="eastAsia" w:ascii="宋体" w:hAnsi="宋体" w:eastAsia="宋体" w:cs="宋体"/>
                <w:szCs w:val="21"/>
              </w:rPr>
            </w:pPr>
            <w:r>
              <w:rPr>
                <w:rFonts w:hint="eastAsia" w:ascii="宋体" w:hAnsi="宋体" w:eastAsia="宋体" w:cs="宋体"/>
                <w:szCs w:val="21"/>
              </w:rPr>
              <w:t>评标价：0分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hint="eastAsia" w:ascii="宋体" w:hAnsi="宋体" w:eastAsia="宋体" w:cs="宋体"/>
                <w:bCs/>
                <w:szCs w:val="21"/>
                <w:lang w:val="zh-CN"/>
              </w:rPr>
            </w:pPr>
            <w:r>
              <w:rPr>
                <w:rFonts w:hint="eastAsia" w:ascii="宋体" w:hAnsi="宋体" w:eastAsia="宋体" w:cs="宋体"/>
                <w:bCs/>
                <w:szCs w:val="21"/>
                <w:lang w:val="zh-CN"/>
              </w:rPr>
              <w:t>2.2.3</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105" w:firstLineChars="50"/>
              <w:jc w:val="center"/>
              <w:rPr>
                <w:rFonts w:hint="eastAsia" w:ascii="宋体" w:hAnsi="宋体" w:eastAsia="宋体" w:cs="宋体"/>
                <w:bCs/>
                <w:szCs w:val="21"/>
                <w:lang w:val="zh-CN"/>
              </w:rPr>
            </w:pPr>
            <w:r>
              <w:rPr>
                <w:rFonts w:hint="eastAsia" w:ascii="宋体" w:hAnsi="宋体" w:eastAsia="宋体" w:cs="宋体"/>
                <w:bCs/>
                <w:szCs w:val="21"/>
                <w:lang w:val="zh-CN"/>
              </w:rPr>
              <w:t>第二个信封详细评审标准</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rPr>
                <w:rFonts w:hint="eastAsia" w:ascii="宋体" w:hAnsi="宋体" w:eastAsia="宋体" w:cs="宋体"/>
                <w:bCs/>
                <w:szCs w:val="21"/>
                <w:lang w:val="zh-CN"/>
              </w:rPr>
            </w:pPr>
            <w:r>
              <w:rPr>
                <w:rFonts w:hint="eastAsia" w:ascii="宋体" w:hAnsi="宋体" w:eastAsia="宋体" w:cs="宋体"/>
                <w:b/>
                <w:szCs w:val="21"/>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hint="eastAsia" w:ascii="宋体" w:hAnsi="宋体" w:eastAsia="宋体" w:cs="宋体"/>
                <w:bCs/>
                <w:szCs w:val="21"/>
                <w:lang w:val="zh-CN"/>
              </w:rPr>
            </w:pPr>
            <w:r>
              <w:rPr>
                <w:rFonts w:hint="eastAsia" w:ascii="宋体" w:hAnsi="宋体" w:eastAsia="宋体" w:cs="宋体"/>
                <w:bCs/>
                <w:szCs w:val="21"/>
                <w:lang w:val="zh-CN"/>
              </w:rPr>
              <w:t>3.2.4</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105" w:firstLineChars="50"/>
              <w:jc w:val="center"/>
              <w:rPr>
                <w:rFonts w:hint="eastAsia" w:ascii="宋体" w:hAnsi="宋体" w:eastAsia="宋体" w:cs="宋体"/>
                <w:bCs/>
                <w:szCs w:val="21"/>
                <w:lang w:val="zh-CN"/>
              </w:rPr>
            </w:pPr>
            <w:r>
              <w:rPr>
                <w:rFonts w:hint="eastAsia" w:ascii="宋体" w:hAnsi="宋体" w:eastAsia="宋体" w:cs="宋体"/>
                <w:bCs/>
                <w:szCs w:val="21"/>
                <w:lang w:val="zh-CN"/>
              </w:rPr>
              <w:t>通过第一个信封详细评审的投标人数量</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rPr>
                <w:rFonts w:hint="eastAsia" w:ascii="宋体" w:hAnsi="宋体" w:eastAsia="宋体" w:cs="宋体"/>
                <w:szCs w:val="21"/>
              </w:rPr>
            </w:pPr>
            <w:r>
              <w:rPr>
                <w:rFonts w:hint="eastAsia" w:ascii="宋体" w:hAnsi="宋体" w:eastAsia="宋体" w:cs="宋体"/>
                <w:szCs w:val="21"/>
              </w:rPr>
              <w:t>按照投标人的商务和技术得分由高到低排序，选择前</w:t>
            </w:r>
            <w:r>
              <w:rPr>
                <w:rFonts w:hint="eastAsia" w:ascii="宋体" w:hAnsi="宋体" w:eastAsia="宋体" w:cs="宋体"/>
                <w:b/>
                <w:szCs w:val="21"/>
                <w:u w:val="single"/>
              </w:rPr>
              <w:t>3</w:t>
            </w:r>
            <w:r>
              <w:rPr>
                <w:rFonts w:hint="eastAsia" w:ascii="宋体" w:hAnsi="宋体" w:eastAsia="宋体" w:cs="宋体"/>
                <w:szCs w:val="21"/>
              </w:rPr>
              <w:t>名通过详细评审。</w:t>
            </w:r>
          </w:p>
        </w:tc>
      </w:tr>
    </w:tbl>
    <w:p>
      <w:pPr>
        <w:pStyle w:val="4"/>
        <w:keepNext w:val="0"/>
        <w:keepLines w:val="0"/>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br w:type="page"/>
      </w:r>
    </w:p>
    <w:tbl>
      <w:tblPr>
        <w:tblStyle w:val="10"/>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409"/>
        <w:gridCol w:w="559"/>
        <w:gridCol w:w="974"/>
        <w:gridCol w:w="1727"/>
        <w:gridCol w:w="750"/>
        <w:gridCol w:w="934"/>
        <w:gridCol w:w="320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6232" w:type="dxa"/>
            <w:gridSpan w:val="7"/>
            <w:tcBorders>
              <w:top w:val="single" w:color="auto" w:sz="6" w:space="0"/>
              <w:left w:val="single" w:color="auto" w:sz="6" w:space="0"/>
            </w:tcBorders>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评分因素与权重分值</w:t>
            </w:r>
            <w:r>
              <w:rPr>
                <w:rStyle w:val="13"/>
                <w:rFonts w:hint="eastAsia" w:ascii="宋体" w:hAnsi="宋体" w:eastAsia="宋体" w:cs="宋体"/>
                <w:szCs w:val="21"/>
              </w:rPr>
              <w:footnoteReference w:id="4"/>
            </w:r>
          </w:p>
        </w:tc>
        <w:tc>
          <w:tcPr>
            <w:tcW w:w="3209" w:type="dxa"/>
            <w:vMerge w:val="restart"/>
            <w:tcBorders>
              <w:top w:val="single" w:color="auto" w:sz="6" w:space="0"/>
              <w:right w:val="single" w:color="auto" w:sz="6" w:space="0"/>
            </w:tcBorders>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评分标准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tcBorders>
              <w:left w:val="single" w:color="auto" w:sz="6" w:space="0"/>
            </w:tcBorders>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条款号</w:t>
            </w:r>
          </w:p>
        </w:tc>
        <w:tc>
          <w:tcPr>
            <w:tcW w:w="968" w:type="dxa"/>
            <w:gridSpan w:val="2"/>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评分</w:t>
            </w:r>
            <w:r>
              <w:rPr>
                <w:rFonts w:hint="eastAsia" w:ascii="宋体" w:hAnsi="宋体" w:eastAsia="宋体" w:cs="宋体"/>
                <w:szCs w:val="21"/>
              </w:rPr>
              <w:br w:type="textWrapping"/>
            </w:r>
            <w:r>
              <w:rPr>
                <w:rFonts w:hint="eastAsia" w:ascii="宋体" w:hAnsi="宋体" w:eastAsia="宋体" w:cs="宋体"/>
                <w:szCs w:val="21"/>
              </w:rPr>
              <w:t>因素</w:t>
            </w:r>
          </w:p>
        </w:tc>
        <w:tc>
          <w:tcPr>
            <w:tcW w:w="974" w:type="dxa"/>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评分因素</w:t>
            </w:r>
            <w:r>
              <w:rPr>
                <w:rFonts w:hint="eastAsia" w:ascii="宋体" w:hAnsi="宋体" w:eastAsia="宋体" w:cs="宋体"/>
                <w:szCs w:val="21"/>
              </w:rPr>
              <w:br w:type="textWrapping"/>
            </w:r>
            <w:r>
              <w:rPr>
                <w:rFonts w:hint="eastAsia" w:ascii="宋体" w:hAnsi="宋体" w:eastAsia="宋体" w:cs="宋体"/>
                <w:szCs w:val="21"/>
              </w:rPr>
              <w:t>权重分值</w:t>
            </w:r>
          </w:p>
        </w:tc>
        <w:tc>
          <w:tcPr>
            <w:tcW w:w="1727" w:type="dxa"/>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各评分因素细分项</w:t>
            </w:r>
          </w:p>
        </w:tc>
        <w:tc>
          <w:tcPr>
            <w:tcW w:w="1684" w:type="dxa"/>
            <w:gridSpan w:val="2"/>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分值</w:t>
            </w:r>
          </w:p>
        </w:tc>
        <w:tc>
          <w:tcPr>
            <w:tcW w:w="3209" w:type="dxa"/>
            <w:vMerge w:val="continue"/>
            <w:tcBorders>
              <w:right w:val="single" w:color="auto" w:sz="6" w:space="0"/>
            </w:tcBorders>
            <w:noWrap w:val="0"/>
            <w:vAlign w:val="center"/>
          </w:tcPr>
          <w:p>
            <w:pPr>
              <w:adjustRightInd w:val="0"/>
              <w:snapToGrid w:val="0"/>
              <w:jc w:val="center"/>
              <w:rPr>
                <w:rFonts w:hint="eastAsia" w:ascii="宋体" w:hAnsi="宋体" w:eastAsia="宋体" w:cs="宋体"/>
                <w:b/>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5" w:hRule="atLeast"/>
        </w:trPr>
        <w:tc>
          <w:tcPr>
            <w:tcW w:w="879" w:type="dxa"/>
            <w:vMerge w:val="restart"/>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2.2.2（1）</w:t>
            </w:r>
          </w:p>
        </w:tc>
        <w:tc>
          <w:tcPr>
            <w:tcW w:w="968" w:type="dxa"/>
            <w:gridSpan w:val="2"/>
            <w:vMerge w:val="restart"/>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施工组织设计</w:t>
            </w:r>
          </w:p>
        </w:tc>
        <w:tc>
          <w:tcPr>
            <w:tcW w:w="974" w:type="dxa"/>
            <w:vMerge w:val="restart"/>
            <w:noWrap w:val="0"/>
            <w:vAlign w:val="center"/>
          </w:tcPr>
          <w:p>
            <w:pPr>
              <w:adjustRightInd w:val="0"/>
              <w:snapToGrid w:val="0"/>
              <w:spacing w:line="340" w:lineRule="exact"/>
              <w:jc w:val="center"/>
              <w:rPr>
                <w:rFonts w:hint="eastAsia" w:ascii="宋体" w:hAnsi="宋体" w:eastAsia="宋体" w:cs="宋体"/>
                <w:sz w:val="24"/>
              </w:rPr>
            </w:pPr>
            <w:r>
              <w:rPr>
                <w:rFonts w:hint="eastAsia" w:ascii="宋体" w:hAnsi="宋体" w:eastAsia="宋体" w:cs="宋体"/>
                <w:sz w:val="24"/>
                <w:lang w:val="en-US" w:eastAsia="zh-CN"/>
              </w:rPr>
              <w:t>40</w:t>
            </w:r>
            <w:r>
              <w:rPr>
                <w:rFonts w:hint="eastAsia" w:ascii="宋体" w:hAnsi="宋体" w:eastAsia="宋体" w:cs="宋体"/>
                <w:sz w:val="24"/>
              </w:rPr>
              <w:t>分</w:t>
            </w:r>
          </w:p>
        </w:tc>
        <w:tc>
          <w:tcPr>
            <w:tcW w:w="1727" w:type="dxa"/>
            <w:vMerge w:val="restart"/>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施工总体方案</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rPr>
              <w:t>1</w:t>
            </w:r>
            <w:r>
              <w:rPr>
                <w:rFonts w:hint="eastAsia" w:ascii="宋体" w:hAnsi="宋体" w:eastAsia="宋体" w:cs="宋体"/>
                <w:szCs w:val="21"/>
                <w:lang w:val="en-US" w:eastAsia="zh-CN"/>
              </w:rPr>
              <w:t>0</w:t>
            </w:r>
          </w:p>
        </w:tc>
        <w:tc>
          <w:tcPr>
            <w:tcW w:w="934" w:type="dxa"/>
            <w:tcBorders>
              <w:left w:val="single" w:color="auto" w:sz="4" w:space="0"/>
              <w:bottom w:val="single" w:color="auto" w:sz="4" w:space="0"/>
            </w:tcBorders>
            <w:noWrap w:val="0"/>
            <w:vAlign w:val="center"/>
          </w:tcPr>
          <w:p>
            <w:pPr>
              <w:snapToGrid w:val="0"/>
              <w:spacing w:line="3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6</w:t>
            </w:r>
            <w:r>
              <w:rPr>
                <w:rFonts w:hint="eastAsia" w:ascii="宋体" w:hAnsi="宋体" w:eastAsia="宋体" w:cs="宋体"/>
                <w:szCs w:val="21"/>
              </w:rPr>
              <w:t>～</w:t>
            </w:r>
            <w:r>
              <w:rPr>
                <w:rFonts w:hint="eastAsia" w:ascii="宋体" w:hAnsi="宋体" w:eastAsia="宋体" w:cs="宋体"/>
                <w:szCs w:val="21"/>
                <w:lang w:val="en-US" w:eastAsia="zh-CN"/>
              </w:rPr>
              <w:t>10</w:t>
            </w:r>
          </w:p>
        </w:tc>
        <w:tc>
          <w:tcPr>
            <w:tcW w:w="3209" w:type="dxa"/>
            <w:tcBorders>
              <w:bottom w:val="single" w:color="auto" w:sz="4"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总体方案切实可行，对本项目具有针对性。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7"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4"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tcBorders>
            <w:noWrap w:val="0"/>
            <w:vAlign w:val="center"/>
          </w:tcPr>
          <w:p>
            <w:pPr>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lang w:val="en-US" w:eastAsia="zh-CN"/>
              </w:rPr>
              <w:t>6</w:t>
            </w:r>
          </w:p>
        </w:tc>
        <w:tc>
          <w:tcPr>
            <w:tcW w:w="3209" w:type="dxa"/>
            <w:tcBorders>
              <w:top w:val="single" w:color="auto" w:sz="4"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总体方案基本满足要求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tcBorders>
              <w:top w:val="single" w:color="auto" w:sz="4" w:space="0"/>
            </w:tcBorders>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工期保证、工程质量管理、环境保护、水土保持、文明施工、文物保护、项目风险预测体系或保证措施</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rPr>
              <w:t>1</w:t>
            </w:r>
            <w:r>
              <w:rPr>
                <w:rFonts w:hint="eastAsia" w:ascii="宋体" w:hAnsi="宋体" w:eastAsia="宋体" w:cs="宋体"/>
                <w:szCs w:val="21"/>
                <w:lang w:val="en-US" w:eastAsia="zh-CN"/>
              </w:rPr>
              <w:t>0</w:t>
            </w:r>
          </w:p>
        </w:tc>
        <w:tc>
          <w:tcPr>
            <w:tcW w:w="934" w:type="dxa"/>
            <w:tcBorders>
              <w:lef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lang w:val="en-US" w:eastAsia="zh-CN"/>
              </w:rPr>
              <w:t>6</w:t>
            </w:r>
            <w:r>
              <w:rPr>
                <w:rFonts w:hint="eastAsia" w:ascii="宋体" w:hAnsi="宋体" w:eastAsia="宋体" w:cs="宋体"/>
                <w:szCs w:val="21"/>
              </w:rPr>
              <w:t>～</w:t>
            </w:r>
            <w:r>
              <w:rPr>
                <w:rFonts w:hint="eastAsia" w:ascii="宋体" w:hAnsi="宋体" w:eastAsia="宋体" w:cs="宋体"/>
                <w:szCs w:val="21"/>
                <w:lang w:val="en-US" w:eastAsia="zh-CN"/>
              </w:rPr>
              <w:t>10</w:t>
            </w:r>
          </w:p>
        </w:tc>
        <w:tc>
          <w:tcPr>
            <w:tcW w:w="3209" w:type="dxa"/>
            <w:tcBorders>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内容齐全、完善；工程保证体系和保证措施具有操作性、先进、合理。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6"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lang w:val="en-US" w:eastAsia="zh-CN"/>
              </w:rPr>
              <w:t>6</w:t>
            </w:r>
          </w:p>
        </w:tc>
        <w:tc>
          <w:tcPr>
            <w:tcW w:w="3209" w:type="dxa"/>
            <w:tcBorders>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内容完整；方案与措施基本满足施工要求。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安全生产管理体系及保证措施</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10</w:t>
            </w:r>
          </w:p>
        </w:tc>
        <w:tc>
          <w:tcPr>
            <w:tcW w:w="934" w:type="dxa"/>
            <w:tcBorders>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6～10</w:t>
            </w:r>
          </w:p>
        </w:tc>
        <w:tc>
          <w:tcPr>
            <w:tcW w:w="3209" w:type="dxa"/>
            <w:tcBorders>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内容齐全、完善；工程保证体系和保证措施具有操作性、先进、合理。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6"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6</w:t>
            </w:r>
          </w:p>
        </w:tc>
        <w:tc>
          <w:tcPr>
            <w:tcW w:w="3209" w:type="dxa"/>
            <w:tcBorders>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内容完整；方案与措施基本满足施工要求。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重点难点工程及解决方法，冬季施工措施</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5</w:t>
            </w:r>
          </w:p>
        </w:tc>
        <w:tc>
          <w:tcPr>
            <w:tcW w:w="934" w:type="dxa"/>
            <w:tcBorders>
              <w:left w:val="single" w:color="auto" w:sz="4" w:space="0"/>
              <w:bottom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3～5</w:t>
            </w:r>
          </w:p>
        </w:tc>
        <w:tc>
          <w:tcPr>
            <w:tcW w:w="3209" w:type="dxa"/>
            <w:tcBorders>
              <w:bottom w:val="single" w:color="auto" w:sz="4"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重点难点工程突出，解决办法合理、科学、先进</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6"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6"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3</w:t>
            </w:r>
          </w:p>
        </w:tc>
        <w:tc>
          <w:tcPr>
            <w:tcW w:w="3209" w:type="dxa"/>
            <w:tcBorders>
              <w:top w:val="single" w:color="auto" w:sz="4" w:space="0"/>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有重点难点工程，有解决办法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94" w:hRule="atLeast"/>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施工方案、方法</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5</w:t>
            </w:r>
          </w:p>
        </w:tc>
        <w:tc>
          <w:tcPr>
            <w:tcW w:w="934" w:type="dxa"/>
            <w:tcBorders>
              <w:left w:val="single" w:color="auto" w:sz="4" w:space="0"/>
              <w:bottom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3～5</w:t>
            </w:r>
          </w:p>
        </w:tc>
        <w:tc>
          <w:tcPr>
            <w:tcW w:w="3209" w:type="dxa"/>
            <w:tcBorders>
              <w:bottom w:val="single" w:color="auto" w:sz="4"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施工方案可行、施工方法齐全、技术先进、施工工艺完善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1" w:hRule="atLeast"/>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6"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3</w:t>
            </w:r>
          </w:p>
        </w:tc>
        <w:tc>
          <w:tcPr>
            <w:tcW w:w="3209" w:type="dxa"/>
            <w:tcBorders>
              <w:top w:val="single" w:color="auto" w:sz="4" w:space="0"/>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施工方案、方法基本满足要求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5" w:hRule="atLeast"/>
        </w:trPr>
        <w:tc>
          <w:tcPr>
            <w:tcW w:w="879" w:type="dxa"/>
            <w:vMerge w:val="restart"/>
            <w:tcBorders>
              <w:top w:val="single" w:color="auto" w:sz="6" w:space="0"/>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2.2.2（2）</w:t>
            </w:r>
          </w:p>
        </w:tc>
        <w:tc>
          <w:tcPr>
            <w:tcW w:w="968" w:type="dxa"/>
            <w:gridSpan w:val="2"/>
            <w:vMerge w:val="restart"/>
            <w:tcBorders>
              <w:top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主要人员</w:t>
            </w:r>
          </w:p>
        </w:tc>
        <w:tc>
          <w:tcPr>
            <w:tcW w:w="974" w:type="dxa"/>
            <w:vMerge w:val="restart"/>
            <w:tcBorders>
              <w:top w:val="single" w:color="auto" w:sz="6" w:space="0"/>
            </w:tcBorders>
            <w:noWrap w:val="0"/>
            <w:vAlign w:val="center"/>
          </w:tcPr>
          <w:p>
            <w:pPr>
              <w:adjustRightInd w:val="0"/>
              <w:snapToGrid w:val="0"/>
              <w:spacing w:line="340" w:lineRule="exact"/>
              <w:jc w:val="center"/>
              <w:rPr>
                <w:rFonts w:hint="eastAsia" w:ascii="宋体" w:hAnsi="宋体" w:eastAsia="宋体" w:cs="宋体"/>
                <w:sz w:val="24"/>
              </w:rPr>
            </w:pPr>
            <w:r>
              <w:rPr>
                <w:rFonts w:hint="eastAsia" w:ascii="宋体" w:hAnsi="宋体" w:eastAsia="宋体" w:cs="宋体"/>
                <w:sz w:val="24"/>
                <w:lang w:val="en-US" w:eastAsia="zh-CN"/>
              </w:rPr>
              <w:t>30</w:t>
            </w:r>
            <w:r>
              <w:rPr>
                <w:rFonts w:hint="eastAsia" w:ascii="宋体" w:hAnsi="宋体" w:eastAsia="宋体" w:cs="宋体"/>
                <w:sz w:val="24"/>
              </w:rPr>
              <w:t>分</w:t>
            </w:r>
          </w:p>
        </w:tc>
        <w:tc>
          <w:tcPr>
            <w:tcW w:w="1727" w:type="dxa"/>
            <w:vMerge w:val="restart"/>
            <w:tcBorders>
              <w:top w:val="single" w:color="auto" w:sz="6" w:space="0"/>
            </w:tcBorders>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项目机构设置、岗位配置、机构运转流程</w:t>
            </w:r>
          </w:p>
        </w:tc>
        <w:tc>
          <w:tcPr>
            <w:tcW w:w="750" w:type="dxa"/>
            <w:vMerge w:val="restart"/>
            <w:tcBorders>
              <w:top w:val="single" w:color="auto" w:sz="6" w:space="0"/>
              <w:right w:val="single" w:color="auto" w:sz="4" w:space="0"/>
            </w:tcBorders>
            <w:noWrap w:val="0"/>
            <w:vAlign w:val="center"/>
          </w:tcPr>
          <w:p>
            <w:pPr>
              <w:adjustRightInd w:val="0"/>
              <w:snapToGrid w:val="0"/>
              <w:spacing w:line="3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10</w:t>
            </w:r>
          </w:p>
        </w:tc>
        <w:tc>
          <w:tcPr>
            <w:tcW w:w="934" w:type="dxa"/>
            <w:tcBorders>
              <w:top w:val="single" w:color="auto" w:sz="6" w:space="0"/>
              <w:left w:val="single" w:color="auto" w:sz="4" w:space="0"/>
              <w:bottom w:val="single" w:color="auto" w:sz="4" w:space="0"/>
            </w:tcBorders>
            <w:noWrap w:val="0"/>
            <w:vAlign w:val="center"/>
          </w:tcPr>
          <w:p>
            <w:pPr>
              <w:snapToGrid w:val="0"/>
              <w:spacing w:line="3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6</w:t>
            </w:r>
            <w:r>
              <w:rPr>
                <w:rFonts w:hint="eastAsia" w:ascii="宋体" w:hAnsi="宋体" w:eastAsia="宋体" w:cs="宋体"/>
                <w:szCs w:val="21"/>
              </w:rPr>
              <w:t>～</w:t>
            </w:r>
            <w:r>
              <w:rPr>
                <w:rFonts w:hint="eastAsia" w:ascii="宋体" w:hAnsi="宋体" w:eastAsia="宋体" w:cs="宋体"/>
                <w:szCs w:val="21"/>
                <w:lang w:val="en-US" w:eastAsia="zh-CN"/>
              </w:rPr>
              <w:t>10</w:t>
            </w:r>
          </w:p>
        </w:tc>
        <w:tc>
          <w:tcPr>
            <w:tcW w:w="3209" w:type="dxa"/>
            <w:tcBorders>
              <w:top w:val="single" w:color="auto" w:sz="6" w:space="0"/>
              <w:bottom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rPr>
            </w:pPr>
            <w:r>
              <w:rPr>
                <w:rFonts w:hint="eastAsia" w:ascii="宋体" w:hAnsi="宋体" w:eastAsia="宋体" w:cs="宋体"/>
                <w:szCs w:val="21"/>
              </w:rPr>
              <w:t>机构、岗位配置齐全、合理，分工明确，机构运转顺畅、科学、完善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7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4"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4"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4" w:space="0"/>
            </w:tcBorders>
            <w:noWrap w:val="0"/>
            <w:vAlign w:val="center"/>
          </w:tcPr>
          <w:p>
            <w:pPr>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lang w:val="en-US" w:eastAsia="zh-CN"/>
              </w:rPr>
              <w:t>6</w:t>
            </w:r>
          </w:p>
        </w:tc>
        <w:tc>
          <w:tcPr>
            <w:tcW w:w="3209" w:type="dxa"/>
            <w:tcBorders>
              <w:top w:val="single" w:color="auto" w:sz="4" w:space="0"/>
              <w:bottom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rPr>
            </w:pPr>
            <w:r>
              <w:rPr>
                <w:rFonts w:hint="eastAsia" w:ascii="宋体" w:hAnsi="宋体" w:eastAsia="宋体" w:cs="宋体"/>
                <w:szCs w:val="21"/>
              </w:rPr>
              <w:t>配置基本满足要求，机构运转正常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452"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tcBorders>
              <w:top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项目经理任职资格与业绩</w:t>
            </w:r>
          </w:p>
        </w:tc>
        <w:tc>
          <w:tcPr>
            <w:tcW w:w="750" w:type="dxa"/>
            <w:vMerge w:val="restart"/>
            <w:tcBorders>
              <w:top w:val="single" w:color="auto" w:sz="4"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10</w:t>
            </w:r>
          </w:p>
        </w:tc>
        <w:tc>
          <w:tcPr>
            <w:tcW w:w="934" w:type="dxa"/>
            <w:tcBorders>
              <w:top w:val="single" w:color="auto" w:sz="4" w:space="0"/>
              <w:lef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6～10</w:t>
            </w:r>
          </w:p>
        </w:tc>
        <w:tc>
          <w:tcPr>
            <w:tcW w:w="3209" w:type="dxa"/>
            <w:tcBorders>
              <w:top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sz w:val="18"/>
                <w:szCs w:val="18"/>
                <w:highlight w:val="none"/>
              </w:rPr>
            </w:pPr>
            <w:r>
              <w:rPr>
                <w:rFonts w:hint="eastAsia" w:ascii="宋体" w:hAnsi="宋体" w:eastAsia="宋体" w:cs="宋体"/>
                <w:szCs w:val="21"/>
                <w:highlight w:val="none"/>
              </w:rPr>
              <w:t>在满足最低要求的基础上，每增加一项</w:t>
            </w:r>
            <w:r>
              <w:rPr>
                <w:rFonts w:hint="eastAsia" w:ascii="宋体" w:hAnsi="宋体" w:eastAsia="宋体" w:cs="宋体"/>
                <w:b/>
                <w:bCs/>
                <w:szCs w:val="21"/>
                <w:highlight w:val="none"/>
                <w:lang w:eastAsia="zh-CN"/>
              </w:rPr>
              <w:t>公路工程施工（施工内容至少应同时包括路基工程和水泥混泥土路面工程）</w:t>
            </w:r>
            <w:r>
              <w:rPr>
                <w:rFonts w:hint="eastAsia" w:ascii="宋体" w:hAnsi="宋体" w:eastAsia="宋体" w:cs="宋体"/>
                <w:szCs w:val="21"/>
                <w:highlight w:val="none"/>
              </w:rPr>
              <w:t>项目经理业绩加2分，最多加4分。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p>
        </w:tc>
        <w:tc>
          <w:tcPr>
            <w:tcW w:w="750" w:type="dxa"/>
            <w:vMerge w:val="continue"/>
            <w:tcBorders>
              <w:bottom w:val="single" w:color="auto" w:sz="6"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p>
        </w:tc>
        <w:tc>
          <w:tcPr>
            <w:tcW w:w="934" w:type="dxa"/>
            <w:tcBorders>
              <w:left w:val="single" w:color="auto" w:sz="4"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6</w:t>
            </w:r>
          </w:p>
        </w:tc>
        <w:tc>
          <w:tcPr>
            <w:tcW w:w="3209" w:type="dxa"/>
            <w:tcBorders>
              <w:bottom w:val="single" w:color="auto" w:sz="6"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highlight w:val="none"/>
              </w:rPr>
            </w:pPr>
            <w:r>
              <w:rPr>
                <w:rFonts w:hint="eastAsia" w:ascii="宋体" w:hAnsi="宋体" w:eastAsia="宋体" w:cs="宋体"/>
                <w:szCs w:val="21"/>
                <w:highlight w:val="none"/>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54"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tcBorders>
              <w:top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项目总工任职资格与业绩</w:t>
            </w:r>
          </w:p>
        </w:tc>
        <w:tc>
          <w:tcPr>
            <w:tcW w:w="750" w:type="dxa"/>
            <w:vMerge w:val="restart"/>
            <w:tcBorders>
              <w:top w:val="single" w:color="auto" w:sz="6" w:space="0"/>
              <w:bottom w:val="single" w:color="auto" w:sz="6"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10</w:t>
            </w:r>
          </w:p>
        </w:tc>
        <w:tc>
          <w:tcPr>
            <w:tcW w:w="934" w:type="dxa"/>
            <w:tcBorders>
              <w:top w:val="single" w:color="auto" w:sz="6" w:space="0"/>
              <w:left w:val="single" w:color="auto" w:sz="4"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6～10</w:t>
            </w:r>
          </w:p>
        </w:tc>
        <w:tc>
          <w:tcPr>
            <w:tcW w:w="3209" w:type="dxa"/>
            <w:tcBorders>
              <w:top w:val="single" w:color="auto" w:sz="6" w:space="0"/>
              <w:bottom w:val="single" w:color="auto" w:sz="6" w:space="0"/>
              <w:right w:val="single" w:color="auto" w:sz="6" w:space="0"/>
            </w:tcBorders>
            <w:noWrap w:val="0"/>
            <w:vAlign w:val="center"/>
          </w:tcPr>
          <w:p>
            <w:pPr>
              <w:adjustRightInd w:val="0"/>
              <w:snapToGrid w:val="0"/>
              <w:spacing w:line="340" w:lineRule="exact"/>
              <w:jc w:val="left"/>
              <w:rPr>
                <w:rFonts w:hint="eastAsia" w:ascii="宋体" w:hAnsi="宋体" w:eastAsia="宋体" w:cs="宋体"/>
                <w:sz w:val="18"/>
                <w:szCs w:val="18"/>
                <w:highlight w:val="none"/>
              </w:rPr>
            </w:pPr>
            <w:r>
              <w:rPr>
                <w:rFonts w:hint="eastAsia" w:ascii="宋体" w:hAnsi="宋体" w:eastAsia="宋体" w:cs="宋体"/>
                <w:szCs w:val="21"/>
                <w:highlight w:val="none"/>
              </w:rPr>
              <w:t>在满足最低要求的基础上，每增加一项</w:t>
            </w:r>
            <w:r>
              <w:rPr>
                <w:rFonts w:hint="eastAsia" w:ascii="宋体" w:hAnsi="宋体" w:eastAsia="宋体" w:cs="宋体"/>
                <w:b/>
                <w:bCs/>
                <w:szCs w:val="21"/>
                <w:highlight w:val="none"/>
                <w:lang w:eastAsia="zh-CN"/>
              </w:rPr>
              <w:t>公路工程施工（施工内容至少应同时包括路基工程和水泥混泥土路面工程）</w:t>
            </w:r>
            <w:r>
              <w:rPr>
                <w:rFonts w:hint="eastAsia" w:ascii="宋体" w:hAnsi="宋体" w:eastAsia="宋体" w:cs="宋体"/>
                <w:szCs w:val="21"/>
                <w:highlight w:val="none"/>
              </w:rPr>
              <w:t>项目总工业绩加2分，最多加4分</w:t>
            </w:r>
            <w:r>
              <w:rPr>
                <w:rFonts w:hint="eastAsia" w:ascii="宋体" w:hAnsi="宋体" w:eastAsia="宋体" w:cs="宋体"/>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p>
        </w:tc>
        <w:tc>
          <w:tcPr>
            <w:tcW w:w="750" w:type="dxa"/>
            <w:vMerge w:val="continue"/>
            <w:tcBorders>
              <w:top w:val="single" w:color="auto" w:sz="6" w:space="0"/>
              <w:bottom w:val="single" w:color="auto" w:sz="6"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p>
        </w:tc>
        <w:tc>
          <w:tcPr>
            <w:tcW w:w="934" w:type="dxa"/>
            <w:tcBorders>
              <w:top w:val="single" w:color="auto" w:sz="6" w:space="0"/>
              <w:left w:val="single" w:color="auto" w:sz="4"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6</w:t>
            </w:r>
          </w:p>
        </w:tc>
        <w:tc>
          <w:tcPr>
            <w:tcW w:w="3209" w:type="dxa"/>
            <w:tcBorders>
              <w:top w:val="single" w:color="auto" w:sz="6" w:space="0"/>
              <w:bottom w:val="single" w:color="auto" w:sz="6"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highlight w:val="none"/>
              </w:rPr>
            </w:pPr>
            <w:r>
              <w:rPr>
                <w:rFonts w:hint="eastAsia" w:ascii="宋体" w:hAnsi="宋体" w:eastAsia="宋体" w:cs="宋体"/>
                <w:szCs w:val="21"/>
                <w:highlight w:val="none"/>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670" w:hRule="atLeast"/>
        </w:trPr>
        <w:tc>
          <w:tcPr>
            <w:tcW w:w="879" w:type="dxa"/>
            <w:vMerge w:val="restart"/>
            <w:tcBorders>
              <w:top w:val="single" w:color="auto" w:sz="6" w:space="0"/>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2.2.2（3）</w:t>
            </w:r>
          </w:p>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其他因素</w:t>
            </w:r>
          </w:p>
        </w:tc>
        <w:tc>
          <w:tcPr>
            <w:tcW w:w="409" w:type="dxa"/>
            <w:vMerge w:val="restart"/>
            <w:tcBorders>
              <w:top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其他因素</w:t>
            </w:r>
          </w:p>
        </w:tc>
        <w:tc>
          <w:tcPr>
            <w:tcW w:w="559" w:type="dxa"/>
            <w:vMerge w:val="restart"/>
            <w:tcBorders>
              <w:top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技术能力</w:t>
            </w:r>
          </w:p>
        </w:tc>
        <w:tc>
          <w:tcPr>
            <w:tcW w:w="974" w:type="dxa"/>
            <w:vMerge w:val="restart"/>
            <w:tcBorders>
              <w:top w:val="single" w:color="auto" w:sz="6" w:space="0"/>
              <w:bottom w:val="single" w:color="auto" w:sz="6" w:space="0"/>
            </w:tcBorders>
            <w:noWrap w:val="0"/>
            <w:vAlign w:val="center"/>
          </w:tcPr>
          <w:p>
            <w:pPr>
              <w:snapToGrid w:val="0"/>
              <w:spacing w:line="340" w:lineRule="exact"/>
              <w:jc w:val="center"/>
              <w:rPr>
                <w:rFonts w:hint="eastAsia" w:ascii="宋体" w:hAnsi="宋体" w:eastAsia="宋体" w:cs="宋体"/>
                <w:sz w:val="24"/>
              </w:rPr>
            </w:pPr>
            <w:r>
              <w:rPr>
                <w:rFonts w:hint="eastAsia" w:ascii="宋体" w:hAnsi="宋体" w:eastAsia="宋体" w:cs="宋体"/>
                <w:sz w:val="24"/>
                <w:lang w:val="en-US" w:eastAsia="zh-CN"/>
              </w:rPr>
              <w:t>15</w:t>
            </w:r>
            <w:r>
              <w:rPr>
                <w:rFonts w:hint="eastAsia" w:ascii="宋体" w:hAnsi="宋体" w:eastAsia="宋体" w:cs="宋体"/>
                <w:sz w:val="24"/>
              </w:rPr>
              <w:t>分</w:t>
            </w:r>
          </w:p>
          <w:p>
            <w:pPr>
              <w:rPr>
                <w:rFonts w:hint="eastAsia" w:ascii="宋体" w:hAnsi="宋体" w:eastAsia="宋体" w:cs="宋体"/>
                <w:sz w:val="24"/>
              </w:rPr>
            </w:pPr>
          </w:p>
        </w:tc>
        <w:tc>
          <w:tcPr>
            <w:tcW w:w="1727" w:type="dxa"/>
            <w:vMerge w:val="restart"/>
            <w:tcBorders>
              <w:top w:val="single" w:color="auto" w:sz="6" w:space="0"/>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highlight w:val="none"/>
              </w:rPr>
            </w:pPr>
            <w:r>
              <w:rPr>
                <w:rFonts w:hint="eastAsia" w:ascii="宋体" w:hAnsi="宋体" w:eastAsia="宋体" w:cs="宋体"/>
                <w:sz w:val="21"/>
                <w:szCs w:val="21"/>
              </w:rPr>
              <w:t>投标人企业业绩</w:t>
            </w:r>
          </w:p>
        </w:tc>
        <w:tc>
          <w:tcPr>
            <w:tcW w:w="750" w:type="dxa"/>
            <w:vMerge w:val="restart"/>
            <w:tcBorders>
              <w:top w:val="single" w:color="auto" w:sz="6" w:space="0"/>
              <w:left w:val="single" w:color="auto" w:sz="4" w:space="0"/>
              <w:right w:val="single" w:color="auto" w:sz="4" w:space="0"/>
            </w:tcBorders>
            <w:noWrap w:val="0"/>
            <w:vAlign w:val="center"/>
          </w:tcPr>
          <w:p>
            <w:pPr>
              <w:adjustRightInd w:val="0"/>
              <w:snapToGrid w:val="0"/>
              <w:spacing w:line="340" w:lineRule="exact"/>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15</w:t>
            </w:r>
          </w:p>
        </w:tc>
        <w:tc>
          <w:tcPr>
            <w:tcW w:w="934" w:type="dxa"/>
            <w:tcBorders>
              <w:top w:val="single" w:color="auto" w:sz="6" w:space="0"/>
              <w:left w:val="single" w:color="auto" w:sz="4" w:space="0"/>
              <w:right w:val="single" w:color="auto" w:sz="4" w:space="0"/>
            </w:tcBorders>
            <w:noWrap w:val="0"/>
            <w:vAlign w:val="center"/>
          </w:tcPr>
          <w:p>
            <w:pPr>
              <w:adjustRightInd w:val="0"/>
              <w:snapToGrid w:val="0"/>
              <w:spacing w:line="340" w:lineRule="exact"/>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9</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15</w:t>
            </w:r>
          </w:p>
        </w:tc>
        <w:tc>
          <w:tcPr>
            <w:tcW w:w="3209" w:type="dxa"/>
            <w:tcBorders>
              <w:top w:val="single" w:color="auto" w:sz="6" w:space="0"/>
              <w:left w:val="single" w:color="auto" w:sz="4" w:space="0"/>
              <w:bottom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highlight w:val="none"/>
              </w:rPr>
            </w:pPr>
            <w:r>
              <w:rPr>
                <w:rFonts w:hint="eastAsia" w:ascii="宋体" w:hAnsi="宋体" w:eastAsia="宋体" w:cs="宋体"/>
                <w:highlight w:val="none"/>
              </w:rPr>
              <w:t>在满足最低要求的基础上，</w:t>
            </w:r>
            <w:r>
              <w:rPr>
                <w:rFonts w:hint="eastAsia" w:ascii="宋体" w:hAnsi="宋体" w:eastAsia="宋体" w:cs="宋体"/>
                <w:highlight w:val="none"/>
                <w:lang w:eastAsia="zh-CN"/>
              </w:rPr>
              <w:t>累计完成</w:t>
            </w:r>
            <w:r>
              <w:rPr>
                <w:rFonts w:hint="eastAsia" w:ascii="宋体" w:hAnsi="宋体" w:eastAsia="宋体" w:cs="宋体"/>
                <w:b/>
                <w:spacing w:val="1"/>
                <w:kern w:val="0"/>
                <w:szCs w:val="21"/>
                <w:highlight w:val="none"/>
                <w:lang w:val="en-US" w:eastAsia="zh-CN"/>
              </w:rPr>
              <w:t>四级及以上公路工程的施工业绩（每项施工业绩的施工内容至少应同时包括路基工程和水泥混凝土路面工程），每增加5公里加1分（增加不足5公里时，按直线内插法计算加分）</w:t>
            </w:r>
            <w:r>
              <w:rPr>
                <w:rFonts w:hint="eastAsia" w:ascii="宋体" w:hAnsi="宋体" w:eastAsia="宋体" w:cs="宋体"/>
                <w:highlight w:val="none"/>
              </w:rPr>
              <w:t>加1分，最多加</w:t>
            </w:r>
            <w:r>
              <w:rPr>
                <w:rFonts w:hint="eastAsia" w:ascii="宋体" w:hAnsi="宋体" w:eastAsia="宋体" w:cs="宋体"/>
                <w:highlight w:val="none"/>
                <w:lang w:val="en-US" w:eastAsia="zh-CN"/>
              </w:rPr>
              <w:t>6</w:t>
            </w:r>
            <w:r>
              <w:rPr>
                <w:rFonts w:hint="eastAsia" w:ascii="宋体" w:hAnsi="宋体" w:eastAsia="宋体" w:cs="宋体"/>
                <w:highlight w:val="none"/>
              </w:rPr>
              <w:t>分。注：高速公路（或一级公路）全幅按2倍长度计算，半幅按1倍长度计算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559"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tcBorders>
              <w:top w:val="single" w:color="auto" w:sz="6" w:space="0"/>
              <w:bottom w:val="single" w:color="auto" w:sz="6" w:space="0"/>
            </w:tcBorders>
            <w:noWrap w:val="0"/>
            <w:vAlign w:val="center"/>
          </w:tcPr>
          <w:p>
            <w:pPr>
              <w:snapToGrid w:val="0"/>
              <w:spacing w:line="340" w:lineRule="exact"/>
              <w:jc w:val="center"/>
              <w:rPr>
                <w:rFonts w:hint="eastAsia" w:ascii="宋体" w:hAnsi="宋体" w:eastAsia="宋体" w:cs="宋体"/>
                <w:sz w:val="24"/>
              </w:rPr>
            </w:pPr>
          </w:p>
        </w:tc>
        <w:tc>
          <w:tcPr>
            <w:tcW w:w="1727" w:type="dxa"/>
            <w:vMerge w:val="continue"/>
            <w:tcBorders>
              <w:bottom w:val="single" w:color="auto" w:sz="4" w:space="0"/>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p>
        </w:tc>
        <w:tc>
          <w:tcPr>
            <w:tcW w:w="750" w:type="dxa"/>
            <w:vMerge w:val="continue"/>
            <w:tcBorders>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9</w:t>
            </w:r>
          </w:p>
        </w:tc>
        <w:tc>
          <w:tcPr>
            <w:tcW w:w="3209" w:type="dxa"/>
            <w:tcBorders>
              <w:top w:val="single" w:color="auto" w:sz="4" w:space="0"/>
              <w:left w:val="single" w:color="auto" w:sz="4" w:space="0"/>
              <w:bottom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rPr>
            </w:pPr>
            <w:r>
              <w:rPr>
                <w:rFonts w:hint="eastAsia" w:ascii="宋体" w:hAnsi="宋体" w:eastAsia="宋体" w:cs="宋体"/>
                <w:szCs w:val="21"/>
              </w:rPr>
              <w:t>满足业绩最低资格审查条件要求。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559" w:type="dxa"/>
            <w:vMerge w:val="restart"/>
            <w:tcBorders>
              <w:top w:val="single" w:color="auto" w:sz="6" w:space="0"/>
            </w:tcBorders>
            <w:noWrap w:val="0"/>
            <w:vAlign w:val="center"/>
          </w:tcPr>
          <w:p>
            <w:pPr>
              <w:adjustRightInd w:val="0"/>
              <w:snapToGrid w:val="0"/>
              <w:spacing w:line="340" w:lineRule="exact"/>
              <w:ind w:left="113" w:right="113"/>
              <w:jc w:val="center"/>
              <w:rPr>
                <w:rFonts w:hint="eastAsia" w:ascii="宋体" w:hAnsi="宋体" w:eastAsia="宋体" w:cs="宋体"/>
                <w:szCs w:val="21"/>
              </w:rPr>
            </w:pPr>
            <w:r>
              <w:rPr>
                <w:rFonts w:hint="eastAsia" w:ascii="宋体" w:hAnsi="宋体" w:eastAsia="宋体" w:cs="宋体"/>
                <w:szCs w:val="21"/>
              </w:rPr>
              <w:t>信誉</w:t>
            </w:r>
          </w:p>
        </w:tc>
        <w:tc>
          <w:tcPr>
            <w:tcW w:w="974" w:type="dxa"/>
            <w:vMerge w:val="restart"/>
            <w:tcBorders>
              <w:top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15分</w:t>
            </w:r>
          </w:p>
        </w:tc>
        <w:tc>
          <w:tcPr>
            <w:tcW w:w="1727" w:type="dxa"/>
            <w:vMerge w:val="restart"/>
            <w:tcBorders>
              <w:top w:val="single" w:color="auto" w:sz="4" w:space="0"/>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r>
              <w:rPr>
                <w:rFonts w:hint="eastAsia" w:ascii="宋体" w:hAnsi="宋体" w:eastAsia="宋体" w:cs="宋体"/>
              </w:rPr>
              <w:t>投标人的信誉评价等级</w:t>
            </w:r>
            <w:r>
              <w:rPr>
                <w:rStyle w:val="13"/>
                <w:rFonts w:hint="eastAsia" w:ascii="宋体" w:hAnsi="宋体" w:eastAsia="宋体" w:cs="宋体"/>
              </w:rPr>
              <w:footnoteReference w:id="5"/>
            </w:r>
          </w:p>
        </w:tc>
        <w:tc>
          <w:tcPr>
            <w:tcW w:w="750" w:type="dxa"/>
            <w:vMerge w:val="restart"/>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15</w:t>
            </w:r>
          </w:p>
        </w:tc>
        <w:tc>
          <w:tcPr>
            <w:tcW w:w="934" w:type="dxa"/>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15</w:t>
            </w:r>
          </w:p>
        </w:tc>
        <w:tc>
          <w:tcPr>
            <w:tcW w:w="3209" w:type="dxa"/>
            <w:tcBorders>
              <w:top w:val="single" w:color="auto" w:sz="4" w:space="0"/>
              <w:left w:val="single" w:color="auto" w:sz="4" w:space="0"/>
              <w:right w:val="single" w:color="auto" w:sz="6" w:space="0"/>
            </w:tcBorders>
            <w:noWrap w:val="0"/>
            <w:vAlign w:val="center"/>
          </w:tcPr>
          <w:p>
            <w:pPr>
              <w:snapToGrid w:val="0"/>
              <w:spacing w:line="340" w:lineRule="exact"/>
              <w:jc w:val="left"/>
              <w:rPr>
                <w:rFonts w:hint="eastAsia" w:ascii="宋体" w:hAnsi="宋体" w:eastAsia="宋体" w:cs="宋体"/>
                <w:szCs w:val="21"/>
              </w:rPr>
            </w:pPr>
            <w:r>
              <w:rPr>
                <w:rFonts w:hint="eastAsia" w:ascii="宋体" w:hAnsi="宋体" w:eastAsia="宋体" w:cs="宋体"/>
                <w:szCs w:val="21"/>
              </w:rPr>
              <w:t>信誉等级AA得15分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55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1727" w:type="dxa"/>
            <w:vMerge w:val="continue"/>
            <w:tcBorders>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p>
        </w:tc>
        <w:tc>
          <w:tcPr>
            <w:tcW w:w="750" w:type="dxa"/>
            <w:vMerge w:val="continue"/>
            <w:tcBorders>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13</w:t>
            </w:r>
          </w:p>
        </w:tc>
        <w:tc>
          <w:tcPr>
            <w:tcW w:w="3209" w:type="dxa"/>
            <w:tcBorders>
              <w:top w:val="single" w:color="auto" w:sz="4" w:space="0"/>
              <w:left w:val="single" w:color="auto" w:sz="4" w:space="0"/>
              <w:right w:val="single" w:color="auto" w:sz="6" w:space="0"/>
            </w:tcBorders>
            <w:noWrap w:val="0"/>
            <w:vAlign w:val="center"/>
          </w:tcPr>
          <w:p>
            <w:pPr>
              <w:snapToGrid w:val="0"/>
              <w:spacing w:line="340" w:lineRule="exact"/>
              <w:jc w:val="left"/>
              <w:rPr>
                <w:rFonts w:hint="eastAsia" w:ascii="宋体" w:hAnsi="宋体" w:eastAsia="宋体" w:cs="宋体"/>
                <w:szCs w:val="21"/>
              </w:rPr>
            </w:pPr>
            <w:r>
              <w:rPr>
                <w:rFonts w:hint="eastAsia" w:ascii="宋体" w:hAnsi="宋体" w:eastAsia="宋体" w:cs="宋体"/>
                <w:szCs w:val="21"/>
              </w:rPr>
              <w:t>信誉等级A得13分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55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1727" w:type="dxa"/>
            <w:vMerge w:val="continue"/>
            <w:tcBorders>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p>
        </w:tc>
        <w:tc>
          <w:tcPr>
            <w:tcW w:w="750" w:type="dxa"/>
            <w:vMerge w:val="continue"/>
            <w:tcBorders>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11</w:t>
            </w:r>
          </w:p>
        </w:tc>
        <w:tc>
          <w:tcPr>
            <w:tcW w:w="3209" w:type="dxa"/>
            <w:tcBorders>
              <w:top w:val="single" w:color="auto" w:sz="4" w:space="0"/>
              <w:left w:val="single" w:color="auto" w:sz="4" w:space="0"/>
              <w:bottom w:val="single" w:color="auto" w:sz="4" w:space="0"/>
              <w:right w:val="single" w:color="auto" w:sz="6" w:space="0"/>
            </w:tcBorders>
            <w:noWrap w:val="0"/>
            <w:vAlign w:val="center"/>
          </w:tcPr>
          <w:p>
            <w:pPr>
              <w:snapToGrid w:val="0"/>
              <w:spacing w:line="340" w:lineRule="exact"/>
              <w:jc w:val="left"/>
              <w:rPr>
                <w:rFonts w:hint="eastAsia" w:ascii="宋体" w:hAnsi="宋体" w:eastAsia="宋体" w:cs="宋体"/>
                <w:szCs w:val="21"/>
              </w:rPr>
            </w:pPr>
            <w:r>
              <w:rPr>
                <w:rFonts w:hint="eastAsia" w:ascii="宋体" w:hAnsi="宋体" w:eastAsia="宋体" w:cs="宋体"/>
                <w:szCs w:val="21"/>
              </w:rPr>
              <w:t>无评价得11分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55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1727" w:type="dxa"/>
            <w:vMerge w:val="continue"/>
            <w:tcBorders>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p>
        </w:tc>
        <w:tc>
          <w:tcPr>
            <w:tcW w:w="750" w:type="dxa"/>
            <w:vMerge w:val="continue"/>
            <w:tcBorders>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9</w:t>
            </w:r>
          </w:p>
        </w:tc>
        <w:tc>
          <w:tcPr>
            <w:tcW w:w="3209" w:type="dxa"/>
            <w:tcBorders>
              <w:top w:val="single" w:color="auto" w:sz="4" w:space="0"/>
              <w:left w:val="single" w:color="auto" w:sz="4" w:space="0"/>
              <w:bottom w:val="single" w:color="auto" w:sz="4" w:space="0"/>
              <w:right w:val="single" w:color="auto" w:sz="6" w:space="0"/>
            </w:tcBorders>
            <w:noWrap w:val="0"/>
            <w:vAlign w:val="center"/>
          </w:tcPr>
          <w:p>
            <w:pPr>
              <w:snapToGrid w:val="0"/>
              <w:spacing w:line="340" w:lineRule="exact"/>
              <w:jc w:val="left"/>
              <w:rPr>
                <w:rFonts w:hint="eastAsia" w:ascii="宋体" w:hAnsi="宋体" w:eastAsia="宋体" w:cs="宋体"/>
                <w:szCs w:val="21"/>
              </w:rPr>
            </w:pPr>
            <w:r>
              <w:rPr>
                <w:rFonts w:hint="eastAsia" w:ascii="宋体" w:hAnsi="宋体" w:eastAsia="宋体" w:cs="宋体"/>
                <w:szCs w:val="21"/>
              </w:rPr>
              <w:t>信誉等级B得9分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0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55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1727" w:type="dxa"/>
            <w:vMerge w:val="continue"/>
            <w:tcBorders>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p>
        </w:tc>
        <w:tc>
          <w:tcPr>
            <w:tcW w:w="750" w:type="dxa"/>
            <w:vMerge w:val="continue"/>
            <w:tcBorders>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7</w:t>
            </w:r>
          </w:p>
        </w:tc>
        <w:tc>
          <w:tcPr>
            <w:tcW w:w="3209" w:type="dxa"/>
            <w:tcBorders>
              <w:top w:val="single" w:color="auto" w:sz="4" w:space="0"/>
              <w:left w:val="single" w:color="auto" w:sz="4" w:space="0"/>
              <w:right w:val="single" w:color="auto" w:sz="6" w:space="0"/>
            </w:tcBorders>
            <w:noWrap w:val="0"/>
            <w:vAlign w:val="center"/>
          </w:tcPr>
          <w:p>
            <w:pPr>
              <w:snapToGrid w:val="0"/>
              <w:spacing w:line="340" w:lineRule="exact"/>
              <w:jc w:val="left"/>
              <w:rPr>
                <w:rFonts w:hint="eastAsia" w:ascii="宋体" w:hAnsi="宋体" w:eastAsia="宋体" w:cs="宋体"/>
                <w:szCs w:val="21"/>
              </w:rPr>
            </w:pPr>
            <w:r>
              <w:rPr>
                <w:rFonts w:hint="eastAsia" w:ascii="宋体" w:hAnsi="宋体" w:eastAsia="宋体" w:cs="宋体"/>
                <w:szCs w:val="21"/>
              </w:rPr>
              <w:t>信誉等级C得7分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tcBorders>
              <w:top w:val="single" w:color="auto" w:sz="4" w:space="0"/>
              <w:left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2.2.4（4）</w:t>
            </w:r>
          </w:p>
        </w:tc>
        <w:tc>
          <w:tcPr>
            <w:tcW w:w="968" w:type="dxa"/>
            <w:gridSpan w:val="2"/>
            <w:tcBorders>
              <w:top w:val="single" w:color="auto" w:sz="4" w:space="0"/>
              <w:bottom w:val="single" w:color="auto" w:sz="6" w:space="0"/>
            </w:tcBorders>
            <w:noWrap w:val="0"/>
            <w:vAlign w:val="center"/>
          </w:tcPr>
          <w:p>
            <w:pPr>
              <w:adjustRightInd w:val="0"/>
              <w:snapToGrid w:val="0"/>
              <w:spacing w:line="340" w:lineRule="exact"/>
              <w:ind w:left="113" w:right="113"/>
              <w:jc w:val="center"/>
              <w:rPr>
                <w:rFonts w:hint="eastAsia" w:ascii="宋体" w:hAnsi="宋体" w:eastAsia="宋体" w:cs="宋体"/>
                <w:szCs w:val="21"/>
              </w:rPr>
            </w:pPr>
            <w:r>
              <w:rPr>
                <w:rFonts w:hint="eastAsia" w:ascii="宋体" w:hAnsi="宋体" w:eastAsia="宋体" w:cs="宋体"/>
                <w:szCs w:val="21"/>
              </w:rPr>
              <w:t>评标价</w:t>
            </w:r>
          </w:p>
        </w:tc>
        <w:tc>
          <w:tcPr>
            <w:tcW w:w="974" w:type="dxa"/>
            <w:tcBorders>
              <w:top w:val="single" w:color="auto" w:sz="4" w:space="0"/>
              <w:bottom w:val="single" w:color="auto" w:sz="6" w:space="0"/>
            </w:tcBorders>
            <w:noWrap w:val="0"/>
            <w:vAlign w:val="center"/>
          </w:tcPr>
          <w:p>
            <w:pPr>
              <w:snapToGrid w:val="0"/>
              <w:spacing w:line="340" w:lineRule="exact"/>
              <w:ind w:left="113" w:right="113"/>
              <w:jc w:val="center"/>
              <w:rPr>
                <w:rFonts w:hint="eastAsia" w:ascii="宋体" w:hAnsi="宋体" w:eastAsia="宋体" w:cs="宋体"/>
                <w:sz w:val="24"/>
              </w:rPr>
            </w:pPr>
            <w:r>
              <w:rPr>
                <w:rFonts w:hint="eastAsia" w:ascii="宋体" w:hAnsi="宋体" w:eastAsia="宋体" w:cs="宋体"/>
                <w:sz w:val="24"/>
              </w:rPr>
              <w:t>0分</w:t>
            </w:r>
          </w:p>
        </w:tc>
        <w:tc>
          <w:tcPr>
            <w:tcW w:w="1727" w:type="dxa"/>
            <w:tcBorders>
              <w:top w:val="single" w:color="auto" w:sz="4" w:space="0"/>
              <w:bottom w:val="single" w:color="auto" w:sz="6" w:space="0"/>
              <w:right w:val="single" w:color="auto" w:sz="4" w:space="0"/>
            </w:tcBorders>
            <w:noWrap w:val="0"/>
            <w:vAlign w:val="center"/>
          </w:tcPr>
          <w:p>
            <w:pPr>
              <w:adjustRightInd w:val="0"/>
              <w:snapToGrid w:val="0"/>
              <w:spacing w:line="340" w:lineRule="exact"/>
              <w:ind w:left="113" w:right="113"/>
              <w:rPr>
                <w:rFonts w:hint="eastAsia" w:ascii="宋体" w:hAnsi="宋体" w:eastAsia="宋体" w:cs="宋体"/>
                <w:szCs w:val="21"/>
              </w:rPr>
            </w:pPr>
          </w:p>
        </w:tc>
        <w:tc>
          <w:tcPr>
            <w:tcW w:w="750" w:type="dxa"/>
            <w:tcBorders>
              <w:top w:val="single" w:color="auto" w:sz="6" w:space="0"/>
              <w:left w:val="single" w:color="auto" w:sz="4" w:space="0"/>
              <w:bottom w:val="single" w:color="auto" w:sz="6"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34" w:type="dxa"/>
            <w:tcBorders>
              <w:top w:val="single" w:color="auto" w:sz="6" w:space="0"/>
              <w:left w:val="single" w:color="auto" w:sz="4" w:space="0"/>
              <w:bottom w:val="single" w:color="auto" w:sz="6" w:space="0"/>
              <w:right w:val="single" w:color="auto" w:sz="4" w:space="0"/>
            </w:tcBorders>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3209" w:type="dxa"/>
            <w:tcBorders>
              <w:top w:val="single" w:color="auto" w:sz="6" w:space="0"/>
              <w:left w:val="single" w:color="auto" w:sz="4" w:space="0"/>
              <w:bottom w:val="single" w:color="auto" w:sz="6" w:space="0"/>
              <w:righ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r>
    </w:tbl>
    <w:p>
      <w:pPr>
        <w:rPr>
          <w:rFonts w:hint="eastAsia" w:ascii="宋体" w:hAnsi="宋体" w:eastAsia="宋体" w:cs="宋体"/>
        </w:rPr>
      </w:pPr>
    </w:p>
    <w:p>
      <w:pPr>
        <w:pStyle w:val="4"/>
        <w:keepNext w:val="0"/>
        <w:keepLines w:val="0"/>
        <w:rPr>
          <w:rFonts w:hint="eastAsia" w:ascii="宋体" w:hAnsi="宋体" w:eastAsia="宋体" w:cs="宋体"/>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1619"/>
        <w:gridCol w:w="54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3"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00" w:beforeAutospacing="1" w:after="100" w:afterAutospacing="1"/>
              <w:ind w:firstLine="480"/>
              <w:jc w:val="center"/>
              <w:rPr>
                <w:rFonts w:hint="eastAsia" w:ascii="宋体" w:hAnsi="宋体" w:eastAsia="宋体" w:cs="宋体"/>
                <w:szCs w:val="21"/>
                <w:u w:val="wave"/>
              </w:rPr>
            </w:pPr>
            <w:r>
              <w:rPr>
                <w:rFonts w:hint="eastAsia" w:ascii="宋体" w:hAnsi="宋体" w:eastAsia="宋体" w:cs="宋体"/>
                <w:szCs w:val="21"/>
              </w:rPr>
              <w:t>3.9.1</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00" w:beforeAutospacing="1" w:after="100" w:afterAutospacing="1"/>
              <w:jc w:val="center"/>
              <w:rPr>
                <w:rFonts w:hint="eastAsia" w:ascii="宋体" w:hAnsi="宋体" w:eastAsia="宋体" w:cs="宋体"/>
                <w:szCs w:val="21"/>
              </w:rPr>
            </w:pPr>
            <w:r>
              <w:rPr>
                <w:rFonts w:hint="eastAsia" w:ascii="宋体" w:hAnsi="宋体" w:eastAsia="宋体" w:cs="宋体"/>
                <w:szCs w:val="21"/>
              </w:rPr>
              <w:t>推荐</w:t>
            </w:r>
          </w:p>
          <w:p>
            <w:pPr>
              <w:adjustRightInd w:val="0"/>
              <w:snapToGrid w:val="0"/>
              <w:spacing w:before="100" w:beforeAutospacing="1" w:after="100" w:afterAutospacing="1"/>
              <w:jc w:val="center"/>
              <w:rPr>
                <w:rFonts w:hint="eastAsia" w:ascii="宋体" w:hAnsi="宋体" w:eastAsia="宋体" w:cs="宋体"/>
                <w:szCs w:val="21"/>
              </w:rPr>
            </w:pPr>
            <w:r>
              <w:rPr>
                <w:rFonts w:hint="eastAsia" w:ascii="宋体" w:hAnsi="宋体" w:eastAsia="宋体" w:cs="宋体"/>
                <w:szCs w:val="21"/>
              </w:rPr>
              <w:t>中标候选人</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20" w:firstLineChars="200"/>
              <w:rPr>
                <w:rFonts w:hint="eastAsia" w:ascii="宋体" w:hAnsi="宋体" w:eastAsia="宋体" w:cs="宋体"/>
                <w:bCs/>
                <w:szCs w:val="21"/>
                <w:lang w:val="zh-CN"/>
              </w:rPr>
            </w:pPr>
            <w:r>
              <w:rPr>
                <w:rFonts w:hint="eastAsia" w:ascii="宋体" w:hAnsi="宋体" w:eastAsia="宋体" w:cs="宋体"/>
                <w:bCs/>
                <w:szCs w:val="21"/>
                <w:lang w:val="zh-CN"/>
              </w:rPr>
              <w:t>评标委员会根据评标办法按其评标价由低到高的顺序推荐中标候选人。</w:t>
            </w:r>
          </w:p>
          <w:p>
            <w:pPr>
              <w:autoSpaceDE w:val="0"/>
              <w:autoSpaceDN w:val="0"/>
              <w:adjustRightInd w:val="0"/>
              <w:spacing w:line="360" w:lineRule="exact"/>
              <w:ind w:firstLine="420" w:firstLineChars="200"/>
              <w:rPr>
                <w:rFonts w:hint="eastAsia" w:ascii="宋体" w:hAnsi="宋体" w:eastAsia="宋体" w:cs="宋体"/>
                <w:bCs/>
                <w:szCs w:val="21"/>
                <w:lang w:val="zh-CN"/>
              </w:rPr>
            </w:pPr>
            <w:r>
              <w:rPr>
                <w:rFonts w:hint="eastAsia" w:ascii="宋体" w:hAnsi="宋体" w:eastAsia="宋体" w:cs="宋体"/>
                <w:bCs/>
                <w:szCs w:val="21"/>
                <w:lang w:val="zh-CN"/>
              </w:rPr>
              <w:t>1、将投标人的投标价以人民币“元”为单位四舍五入取整作为投标人的评标价；</w:t>
            </w:r>
          </w:p>
          <w:p>
            <w:pPr>
              <w:adjustRightInd w:val="0"/>
              <w:snapToGrid w:val="0"/>
              <w:spacing w:before="46" w:beforeLines="15" w:after="46" w:afterLines="15" w:line="360" w:lineRule="exact"/>
              <w:ind w:firstLine="420" w:firstLineChars="200"/>
              <w:rPr>
                <w:rFonts w:hint="eastAsia" w:ascii="宋体" w:hAnsi="宋体" w:eastAsia="宋体" w:cs="宋体"/>
                <w:szCs w:val="21"/>
              </w:rPr>
            </w:pPr>
            <w:r>
              <w:rPr>
                <w:rFonts w:hint="eastAsia" w:ascii="宋体" w:hAnsi="宋体" w:eastAsia="宋体" w:cs="宋体"/>
                <w:szCs w:val="21"/>
              </w:rPr>
              <w:t>2、如同一标段出现多名投标人的</w:t>
            </w:r>
            <w:r>
              <w:rPr>
                <w:rFonts w:hint="eastAsia" w:ascii="宋体" w:hAnsi="宋体" w:eastAsia="宋体" w:cs="宋体"/>
              </w:rPr>
              <w:t>评标价相同，则以第一个信封（商务及技术文件）得分高者排序在先；</w:t>
            </w:r>
          </w:p>
          <w:p>
            <w:pPr>
              <w:autoSpaceDE w:val="0"/>
              <w:autoSpaceDN w:val="0"/>
              <w:adjustRightIn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3、如同一标段出现多名投标人的</w:t>
            </w:r>
            <w:r>
              <w:rPr>
                <w:rFonts w:hint="eastAsia" w:ascii="宋体" w:hAnsi="宋体" w:eastAsia="宋体" w:cs="宋体"/>
              </w:rPr>
              <w:t>第一个信封（商务及技术文件）</w:t>
            </w:r>
            <w:r>
              <w:rPr>
                <w:rFonts w:hint="eastAsia" w:ascii="宋体" w:hAnsi="宋体" w:eastAsia="宋体" w:cs="宋体"/>
                <w:szCs w:val="21"/>
              </w:rPr>
              <w:t xml:space="preserve">综合得分相等时，则按照以下所列顺位在前的优先： </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a.主要人员得分较高者；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b.施工组织设计得分较高者；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c.履约信誉得分较高者；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d.技术能力得分较高者。</w:t>
            </w:r>
          </w:p>
          <w:p>
            <w:pPr>
              <w:autoSpaceDE w:val="0"/>
              <w:autoSpaceDN w:val="0"/>
              <w:adjustRightInd w:val="0"/>
              <w:spacing w:line="360" w:lineRule="exact"/>
              <w:ind w:firstLine="420" w:firstLineChars="200"/>
              <w:rPr>
                <w:rFonts w:hint="eastAsia" w:ascii="宋体" w:hAnsi="宋体" w:eastAsia="宋体" w:cs="宋体"/>
                <w:bCs/>
                <w:szCs w:val="21"/>
                <w:lang w:val="zh-CN"/>
              </w:rPr>
            </w:pPr>
            <w:r>
              <w:rPr>
                <w:rFonts w:hint="eastAsia" w:ascii="宋体" w:hAnsi="宋体" w:eastAsia="宋体" w:cs="宋体"/>
                <w:szCs w:val="21"/>
              </w:rPr>
              <w:t>若以上各项评分因素得分都相等，则通过评委会投票表决，推荐票数多的投标人评分排序在先。</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20" w:hRule="atLeast"/>
        </w:trPr>
        <w:tc>
          <w:tcPr>
            <w:tcW w:w="9487" w:type="dxa"/>
            <w:gridSpan w:val="3"/>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hint="eastAsia" w:ascii="宋体" w:hAnsi="宋体" w:eastAsia="宋体" w:cs="宋体"/>
                <w:bCs/>
                <w:szCs w:val="21"/>
                <w:lang w:val="zh-CN" w:eastAsia="zh-CN"/>
              </w:rPr>
            </w:pPr>
            <w:r>
              <w:rPr>
                <w:rFonts w:hint="eastAsia" w:ascii="宋体" w:hAnsi="宋体" w:eastAsia="宋体" w:cs="宋体"/>
                <w:bCs/>
                <w:szCs w:val="21"/>
                <w:lang w:val="zh-CN"/>
              </w:rPr>
              <w:t>需要补充</w:t>
            </w:r>
            <w:r>
              <w:rPr>
                <w:rFonts w:hint="eastAsia" w:ascii="宋体" w:hAnsi="宋体" w:eastAsia="宋体" w:cs="宋体"/>
                <w:bCs/>
                <w:szCs w:val="21"/>
                <w:highlight w:val="none"/>
                <w:lang w:val="zh-CN"/>
              </w:rPr>
              <w:t>的其他内容： 不适用</w:t>
            </w:r>
            <w:r>
              <w:rPr>
                <w:rFonts w:hint="eastAsia" w:ascii="宋体" w:hAnsi="宋体" w:eastAsia="宋体" w:cs="宋体"/>
                <w:color w:val="000000"/>
                <w:kern w:val="0"/>
                <w:sz w:val="22"/>
                <w:highlight w:val="none"/>
                <w:lang w:bidi="en-US"/>
              </w:rPr>
              <w:t>3.6.1</w:t>
            </w:r>
            <w:r>
              <w:rPr>
                <w:rFonts w:hint="eastAsia" w:ascii="宋体" w:hAnsi="宋体" w:eastAsia="宋体" w:cs="宋体"/>
                <w:color w:val="000000"/>
                <w:kern w:val="0"/>
                <w:sz w:val="22"/>
                <w:highlight w:val="none"/>
                <w:lang w:eastAsia="zh-CN" w:bidi="en-US"/>
              </w:rPr>
              <w:t>规定内容</w:t>
            </w:r>
          </w:p>
        </w:tc>
      </w:tr>
    </w:tbl>
    <w:p>
      <w:pPr>
        <w:rPr>
          <w:rFonts w:hint="eastAsia" w:ascii="宋体" w:hAnsi="宋体" w:eastAsia="宋体" w:cs="宋体"/>
          <w:szCs w:val="21"/>
        </w:rPr>
      </w:pPr>
    </w:p>
    <w:p/>
    <w:p>
      <w:pPr>
        <w:rPr>
          <w:rFonts w:ascii="宋体" w:hAnsi="宋体"/>
          <w:b w:val="0"/>
        </w:rPr>
      </w:pPr>
    </w:p>
    <w:p>
      <w:pPr>
        <w:pStyle w:val="19"/>
        <w:tabs>
          <w:tab w:val="left" w:pos="426"/>
        </w:tabs>
        <w:spacing w:line="420" w:lineRule="exact"/>
        <w:jc w:val="left"/>
        <w:outlineLvl w:val="2"/>
        <w:rPr>
          <w:rFonts w:ascii="宋体"/>
          <w:b w:val="0"/>
        </w:rPr>
      </w:pPr>
      <w:r>
        <w:rPr>
          <w:rFonts w:ascii="宋体" w:hAnsi="宋体"/>
          <w:b w:val="0"/>
        </w:rPr>
        <w:t>6.</w:t>
      </w:r>
      <w:r>
        <w:rPr>
          <w:rFonts w:hint="eastAsia" w:ascii="宋体" w:hAnsi="宋体"/>
          <w:b w:val="0"/>
        </w:rPr>
        <w:t>公开时间</w:t>
      </w:r>
    </w:p>
    <w:p>
      <w:pPr>
        <w:adjustRightInd w:val="0"/>
        <w:snapToGrid w:val="0"/>
      </w:pPr>
      <w:r>
        <w:rPr>
          <w:rFonts w:hint="eastAsia" w:ascii="宋体" w:hAnsi="宋体"/>
          <w:sz w:val="24"/>
        </w:rPr>
        <w:t>本次招标文件关键内容信息公开时间至</w:t>
      </w:r>
      <w:r>
        <w:rPr>
          <w:rFonts w:ascii="宋体" w:hAnsi="宋体"/>
          <w:sz w:val="24"/>
        </w:rPr>
        <w:t>20</w:t>
      </w:r>
      <w:r>
        <w:rPr>
          <w:rFonts w:hint="eastAsia" w:ascii="宋体" w:hAnsi="宋体"/>
          <w:sz w:val="24"/>
          <w:lang w:val="en-US" w:eastAsia="zh-CN"/>
        </w:rPr>
        <w:t>21</w:t>
      </w:r>
      <w:r>
        <w:rPr>
          <w:rFonts w:hint="eastAsia" w:ascii="宋体" w:hAnsi="宋体"/>
          <w:sz w:val="24"/>
        </w:rPr>
        <w:t>年</w:t>
      </w:r>
      <w:r>
        <w:rPr>
          <w:rFonts w:hint="eastAsia" w:ascii="宋体" w:hAnsi="宋体"/>
          <w:sz w:val="24"/>
          <w:lang w:val="en-US" w:eastAsia="zh-CN"/>
        </w:rPr>
        <w:t>08</w:t>
      </w:r>
      <w:r>
        <w:rPr>
          <w:rFonts w:hint="eastAsia" w:ascii="宋体" w:hAnsi="宋体"/>
          <w:sz w:val="24"/>
        </w:rPr>
        <w:t>月</w:t>
      </w:r>
      <w:r>
        <w:rPr>
          <w:rFonts w:hint="eastAsia" w:ascii="宋体" w:hAnsi="宋体"/>
          <w:sz w:val="24"/>
          <w:lang w:val="en-US" w:eastAsia="zh-CN"/>
        </w:rPr>
        <w:t>10</w:t>
      </w:r>
      <w:r>
        <w:rPr>
          <w:rFonts w:hint="eastAsia" w:ascii="宋体" w:hAnsi="宋体"/>
          <w:sz w:val="24"/>
        </w:rPr>
        <w:t>日</w:t>
      </w:r>
      <w:r>
        <w:rPr>
          <w:rFonts w:ascii="宋体" w:hAnsi="宋体"/>
          <w:sz w:val="24"/>
        </w:rPr>
        <w:t>24</w:t>
      </w:r>
      <w:r>
        <w:rPr>
          <w:rFonts w:hint="eastAsia" w:ascii="宋体" w:hAnsi="宋体"/>
          <w:sz w:val="24"/>
        </w:rPr>
        <w:t>时</w:t>
      </w:r>
      <w:r>
        <w:rPr>
          <w:rFonts w:ascii="宋体" w:hAnsi="宋体"/>
          <w:sz w:val="24"/>
        </w:rPr>
        <w:t>00</w:t>
      </w:r>
      <w:r>
        <w:rPr>
          <w:rFonts w:hint="eastAsia" w:ascii="宋体" w:hAnsi="宋体"/>
          <w:sz w:val="24"/>
        </w:rPr>
        <w:t>分结束。</w:t>
      </w:r>
      <w:bookmarkStart w:id="23" w:name="_Toc257655333"/>
      <w:bookmarkStart w:id="24" w:name="_Toc356741794"/>
      <w:bookmarkStart w:id="25" w:name="_Toc361838108"/>
      <w:bookmarkStart w:id="26" w:name="_Toc444693693"/>
    </w:p>
    <w:p>
      <w:pPr>
        <w:pStyle w:val="19"/>
        <w:tabs>
          <w:tab w:val="left" w:pos="426"/>
        </w:tabs>
        <w:spacing w:line="360" w:lineRule="exact"/>
        <w:jc w:val="left"/>
        <w:outlineLvl w:val="2"/>
        <w:rPr>
          <w:rFonts w:ascii="宋体" w:hAnsi="宋体"/>
          <w:b w:val="0"/>
        </w:rPr>
      </w:pPr>
      <w:r>
        <w:rPr>
          <w:rFonts w:hint="eastAsia" w:ascii="宋体" w:hAnsi="宋体"/>
          <w:b w:val="0"/>
        </w:rPr>
        <w:t>7.</w:t>
      </w:r>
      <w:bookmarkEnd w:id="23"/>
      <w:bookmarkEnd w:id="24"/>
      <w:bookmarkEnd w:id="25"/>
      <w:bookmarkEnd w:id="26"/>
      <w:bookmarkStart w:id="27" w:name="_Toc460960729"/>
      <w:bookmarkStart w:id="28" w:name="_Toc444517394"/>
      <w:bookmarkStart w:id="29" w:name="_Toc458772805"/>
      <w:r>
        <w:rPr>
          <w:rFonts w:hint="eastAsia" w:ascii="宋体" w:hAnsi="宋体"/>
          <w:b w:val="0"/>
        </w:rPr>
        <w:t>联系方式</w:t>
      </w:r>
      <w:bookmarkEnd w:id="27"/>
      <w:bookmarkEnd w:id="28"/>
      <w:bookmarkEnd w:id="29"/>
    </w:p>
    <w:tbl>
      <w:tblPr>
        <w:tblStyle w:val="10"/>
        <w:tblW w:w="9529" w:type="dxa"/>
        <w:tblInd w:w="0" w:type="dxa"/>
        <w:tblLayout w:type="fixed"/>
        <w:tblCellMar>
          <w:top w:w="0" w:type="dxa"/>
          <w:left w:w="108" w:type="dxa"/>
          <w:bottom w:w="0" w:type="dxa"/>
          <w:right w:w="108" w:type="dxa"/>
        </w:tblCellMar>
      </w:tblPr>
      <w:tblGrid>
        <w:gridCol w:w="4317"/>
        <w:gridCol w:w="5212"/>
      </w:tblGrid>
      <w:tr>
        <w:tblPrEx>
          <w:tblCellMar>
            <w:top w:w="0" w:type="dxa"/>
            <w:left w:w="108" w:type="dxa"/>
            <w:bottom w:w="0" w:type="dxa"/>
            <w:right w:w="108" w:type="dxa"/>
          </w:tblCellMar>
        </w:tblPrEx>
        <w:tc>
          <w:tcPr>
            <w:tcW w:w="4317" w:type="dxa"/>
          </w:tcPr>
          <w:p>
            <w:pPr>
              <w:ind w:left="1050" w:hanging="1050" w:hangingChars="500"/>
              <w:rPr>
                <w:rFonts w:ascii="宋体" w:hAnsi="宋体"/>
                <w:szCs w:val="21"/>
              </w:rPr>
            </w:pPr>
            <w:r>
              <w:rPr>
                <w:rFonts w:hint="eastAsia" w:ascii="宋体" w:hAnsi="宋体"/>
                <w:kern w:val="0"/>
                <w:szCs w:val="21"/>
              </w:rPr>
              <w:t>委托</w:t>
            </w:r>
            <w:r>
              <w:rPr>
                <w:rFonts w:ascii="宋体" w:hAnsi="宋体"/>
                <w:szCs w:val="21"/>
              </w:rPr>
              <w:t xml:space="preserve">招标人: </w:t>
            </w:r>
            <w:r>
              <w:rPr>
                <w:rFonts w:hint="eastAsia" w:ascii="宋体" w:hAnsi="宋体" w:cs="宋体"/>
                <w:b/>
                <w:kern w:val="0"/>
                <w:szCs w:val="21"/>
              </w:rPr>
              <w:t>白城市洮北区公路建设办公室</w:t>
            </w:r>
          </w:p>
        </w:tc>
        <w:tc>
          <w:tcPr>
            <w:tcW w:w="5212" w:type="dxa"/>
            <w:vAlign w:val="top"/>
          </w:tcPr>
          <w:p>
            <w:pPr>
              <w:autoSpaceDE w:val="0"/>
              <w:autoSpaceDN w:val="0"/>
              <w:adjustRightInd w:val="0"/>
              <w:rPr>
                <w:rFonts w:ascii="宋体" w:hAnsi="宋体"/>
                <w:szCs w:val="21"/>
                <w:highlight w:val="yellow"/>
              </w:rPr>
            </w:pPr>
            <w:r>
              <w:rPr>
                <w:rFonts w:ascii="宋体" w:hAnsi="宋体"/>
                <w:szCs w:val="21"/>
              </w:rPr>
              <w:t>招标代理机</w:t>
            </w:r>
            <w:r>
              <w:rPr>
                <w:rFonts w:hint="eastAsia" w:ascii="宋体" w:hAnsi="宋体"/>
                <w:szCs w:val="21"/>
              </w:rPr>
              <w:t>构</w:t>
            </w:r>
            <w:r>
              <w:rPr>
                <w:rFonts w:hint="eastAsia" w:ascii="宋体" w:hAnsi="宋体" w:cs="宋体"/>
                <w:b/>
                <w:kern w:val="0"/>
                <w:szCs w:val="21"/>
              </w:rPr>
              <w:t xml:space="preserve">: </w:t>
            </w:r>
            <w:r>
              <w:rPr>
                <w:rFonts w:hint="eastAsia" w:ascii="宋体" w:hAnsi="宋体" w:cs="宋体"/>
                <w:b/>
                <w:kern w:val="0"/>
                <w:szCs w:val="21"/>
                <w:lang w:val="zh-CN"/>
              </w:rPr>
              <w:t>吉林省正祯工程咨询有限公司</w:t>
            </w:r>
          </w:p>
        </w:tc>
      </w:tr>
      <w:tr>
        <w:tblPrEx>
          <w:tblCellMar>
            <w:top w:w="0" w:type="dxa"/>
            <w:left w:w="108" w:type="dxa"/>
            <w:bottom w:w="0" w:type="dxa"/>
            <w:right w:w="108" w:type="dxa"/>
          </w:tblCellMar>
        </w:tblPrEx>
        <w:tc>
          <w:tcPr>
            <w:tcW w:w="4317" w:type="dxa"/>
          </w:tcPr>
          <w:p>
            <w:pPr>
              <w:rPr>
                <w:rFonts w:ascii="宋体" w:hAnsi="宋体"/>
                <w:szCs w:val="21"/>
              </w:rPr>
            </w:pPr>
            <w:r>
              <w:rPr>
                <w:rFonts w:ascii="宋体" w:hAnsi="宋体"/>
                <w:szCs w:val="21"/>
              </w:rPr>
              <w:t xml:space="preserve">地    址: </w:t>
            </w:r>
            <w:r>
              <w:rPr>
                <w:rFonts w:hint="eastAsia" w:ascii="宋体" w:hAnsi="宋体"/>
                <w:kern w:val="0"/>
                <w:szCs w:val="21"/>
              </w:rPr>
              <w:t>白城市明仁北街6号</w:t>
            </w:r>
          </w:p>
        </w:tc>
        <w:tc>
          <w:tcPr>
            <w:tcW w:w="5212" w:type="dxa"/>
            <w:vAlign w:val="top"/>
          </w:tcPr>
          <w:p>
            <w:pPr>
              <w:autoSpaceDE w:val="0"/>
              <w:autoSpaceDN w:val="0"/>
              <w:adjustRightInd w:val="0"/>
              <w:rPr>
                <w:rFonts w:ascii="宋体" w:hAnsi="宋体"/>
                <w:szCs w:val="21"/>
                <w:highlight w:val="yellow"/>
              </w:rPr>
            </w:pPr>
            <w:r>
              <w:rPr>
                <w:rFonts w:ascii="宋体" w:hAnsi="宋体"/>
                <w:szCs w:val="21"/>
              </w:rPr>
              <w:t xml:space="preserve">地    址: </w:t>
            </w:r>
            <w:r>
              <w:rPr>
                <w:rFonts w:hint="eastAsia" w:ascii="宋体" w:hAnsi="宋体"/>
                <w:szCs w:val="21"/>
                <w:lang w:eastAsia="zh-CN"/>
              </w:rPr>
              <w:t>白城市经济开发区开发大街</w:t>
            </w:r>
            <w:r>
              <w:rPr>
                <w:rFonts w:hint="eastAsia" w:ascii="宋体" w:hAnsi="宋体"/>
                <w:szCs w:val="21"/>
                <w:lang w:val="en-US" w:eastAsia="zh-CN"/>
              </w:rPr>
              <w:t>666号</w:t>
            </w:r>
          </w:p>
        </w:tc>
      </w:tr>
      <w:tr>
        <w:tblPrEx>
          <w:tblCellMar>
            <w:top w:w="0" w:type="dxa"/>
            <w:left w:w="108" w:type="dxa"/>
            <w:bottom w:w="0" w:type="dxa"/>
            <w:right w:w="108" w:type="dxa"/>
          </w:tblCellMar>
        </w:tblPrEx>
        <w:tc>
          <w:tcPr>
            <w:tcW w:w="4317" w:type="dxa"/>
          </w:tcPr>
          <w:p>
            <w:pPr>
              <w:rPr>
                <w:rFonts w:ascii="宋体" w:hAnsi="宋体"/>
                <w:szCs w:val="21"/>
              </w:rPr>
            </w:pPr>
            <w:r>
              <w:rPr>
                <w:rFonts w:ascii="宋体" w:hAnsi="宋体"/>
                <w:szCs w:val="21"/>
              </w:rPr>
              <w:t xml:space="preserve">邮    编: </w:t>
            </w:r>
            <w:r>
              <w:rPr>
                <w:rFonts w:ascii="宋体" w:hAnsi="宋体"/>
                <w:kern w:val="0"/>
                <w:szCs w:val="21"/>
              </w:rPr>
              <w:t>13</w:t>
            </w:r>
            <w:r>
              <w:rPr>
                <w:rFonts w:hint="eastAsia" w:ascii="宋体" w:hAnsi="宋体"/>
                <w:kern w:val="0"/>
                <w:szCs w:val="21"/>
              </w:rPr>
              <w:t>70</w:t>
            </w:r>
            <w:r>
              <w:rPr>
                <w:rFonts w:ascii="宋体" w:hAnsi="宋体"/>
                <w:kern w:val="0"/>
                <w:szCs w:val="21"/>
              </w:rPr>
              <w:t>00</w:t>
            </w:r>
          </w:p>
        </w:tc>
        <w:tc>
          <w:tcPr>
            <w:tcW w:w="5212" w:type="dxa"/>
            <w:vAlign w:val="top"/>
          </w:tcPr>
          <w:p>
            <w:pPr>
              <w:autoSpaceDE w:val="0"/>
              <w:autoSpaceDN w:val="0"/>
              <w:adjustRightInd w:val="0"/>
              <w:rPr>
                <w:rFonts w:ascii="宋体" w:hAnsi="宋体"/>
                <w:szCs w:val="21"/>
              </w:rPr>
            </w:pPr>
            <w:r>
              <w:rPr>
                <w:rFonts w:ascii="宋体" w:hAnsi="宋体"/>
                <w:szCs w:val="21"/>
              </w:rPr>
              <w:t>邮    编: 13</w:t>
            </w:r>
            <w:r>
              <w:rPr>
                <w:rFonts w:hint="eastAsia" w:ascii="宋体" w:hAnsi="宋体"/>
                <w:szCs w:val="21"/>
                <w:lang w:val="en-US" w:eastAsia="zh-CN"/>
              </w:rPr>
              <w:t>7000</w:t>
            </w:r>
          </w:p>
        </w:tc>
      </w:tr>
      <w:tr>
        <w:tblPrEx>
          <w:tblCellMar>
            <w:top w:w="0" w:type="dxa"/>
            <w:left w:w="108" w:type="dxa"/>
            <w:bottom w:w="0" w:type="dxa"/>
            <w:right w:w="108" w:type="dxa"/>
          </w:tblCellMar>
        </w:tblPrEx>
        <w:tc>
          <w:tcPr>
            <w:tcW w:w="4317" w:type="dxa"/>
          </w:tcPr>
          <w:p>
            <w:pPr>
              <w:rPr>
                <w:rFonts w:ascii="宋体" w:hAnsi="宋体"/>
                <w:szCs w:val="21"/>
              </w:rPr>
            </w:pPr>
            <w:r>
              <w:rPr>
                <w:rFonts w:ascii="宋体" w:hAnsi="宋体"/>
                <w:szCs w:val="21"/>
              </w:rPr>
              <w:t>联</w:t>
            </w:r>
            <w:r>
              <w:rPr>
                <w:rFonts w:hint="eastAsia" w:ascii="宋体" w:hAnsi="宋体"/>
                <w:szCs w:val="21"/>
                <w:lang w:val="en-US" w:eastAsia="zh-CN"/>
              </w:rPr>
              <w:t xml:space="preserve"> </w:t>
            </w:r>
            <w:r>
              <w:rPr>
                <w:rFonts w:ascii="宋体" w:hAnsi="宋体"/>
                <w:szCs w:val="21"/>
              </w:rPr>
              <w:t>系</w:t>
            </w:r>
            <w:r>
              <w:rPr>
                <w:rFonts w:hint="eastAsia" w:ascii="宋体" w:hAnsi="宋体"/>
                <w:szCs w:val="21"/>
                <w:lang w:val="en-US" w:eastAsia="zh-CN"/>
              </w:rPr>
              <w:t xml:space="preserve"> </w:t>
            </w:r>
            <w:r>
              <w:rPr>
                <w:rFonts w:ascii="宋体" w:hAnsi="宋体"/>
                <w:szCs w:val="21"/>
              </w:rPr>
              <w:t xml:space="preserve">人: </w:t>
            </w:r>
            <w:r>
              <w:rPr>
                <w:rFonts w:hint="eastAsia" w:ascii="宋体" w:hAnsi="宋体"/>
                <w:szCs w:val="21"/>
                <w:lang w:eastAsia="zh-CN"/>
              </w:rPr>
              <w:t>黄明</w:t>
            </w:r>
            <w:r>
              <w:rPr>
                <w:rFonts w:hint="eastAsia" w:ascii="宋体" w:hAnsi="宋体"/>
                <w:szCs w:val="21"/>
              </w:rPr>
              <w:t xml:space="preserve"> </w:t>
            </w:r>
          </w:p>
        </w:tc>
        <w:tc>
          <w:tcPr>
            <w:tcW w:w="5212" w:type="dxa"/>
            <w:vAlign w:val="top"/>
          </w:tcPr>
          <w:p>
            <w:pPr>
              <w:autoSpaceDE w:val="0"/>
              <w:autoSpaceDN w:val="0"/>
              <w:adjustRightInd w:val="0"/>
              <w:rPr>
                <w:rFonts w:ascii="宋体" w:hAnsi="宋体"/>
                <w:szCs w:val="21"/>
              </w:rPr>
            </w:pPr>
            <w:r>
              <w:rPr>
                <w:rFonts w:ascii="宋体" w:hAnsi="宋体"/>
                <w:szCs w:val="21"/>
              </w:rPr>
              <w:t>联 系 人:</w:t>
            </w:r>
            <w:r>
              <w:rPr>
                <w:rFonts w:hint="eastAsia" w:ascii="宋体" w:hAnsi="宋体"/>
                <w:szCs w:val="21"/>
              </w:rPr>
              <w:t xml:space="preserve"> </w:t>
            </w:r>
            <w:r>
              <w:rPr>
                <w:rFonts w:hint="eastAsia" w:ascii="宋体" w:hAnsi="宋体"/>
                <w:szCs w:val="21"/>
                <w:lang w:eastAsia="zh-CN"/>
              </w:rPr>
              <w:t>刘</w:t>
            </w:r>
            <w:r>
              <w:rPr>
                <w:rFonts w:hint="eastAsia" w:ascii="宋体" w:hAnsi="宋体"/>
                <w:szCs w:val="21"/>
              </w:rPr>
              <w:t>女士</w:t>
            </w:r>
          </w:p>
        </w:tc>
      </w:tr>
      <w:tr>
        <w:tblPrEx>
          <w:tblCellMar>
            <w:top w:w="0" w:type="dxa"/>
            <w:left w:w="108" w:type="dxa"/>
            <w:bottom w:w="0" w:type="dxa"/>
            <w:right w:w="108" w:type="dxa"/>
          </w:tblCellMar>
        </w:tblPrEx>
        <w:tc>
          <w:tcPr>
            <w:tcW w:w="4317" w:type="dxa"/>
          </w:tcPr>
          <w:p>
            <w:pPr>
              <w:rPr>
                <w:rFonts w:hint="default" w:ascii="宋体" w:hAnsi="宋体" w:eastAsia="宋体"/>
                <w:szCs w:val="21"/>
                <w:lang w:val="en-US" w:eastAsia="zh-CN"/>
              </w:rPr>
            </w:pPr>
            <w:r>
              <w:rPr>
                <w:rFonts w:ascii="宋体" w:hAnsi="宋体"/>
                <w:szCs w:val="21"/>
              </w:rPr>
              <w:t xml:space="preserve">电    话: </w:t>
            </w:r>
            <w:r>
              <w:rPr>
                <w:rFonts w:hint="eastAsia" w:ascii="宋体" w:hAnsi="宋体" w:eastAsia="宋体" w:cs="宋体"/>
                <w:sz w:val="21"/>
                <w:szCs w:val="21"/>
              </w:rPr>
              <w:t>0436-5891014</w:t>
            </w:r>
          </w:p>
        </w:tc>
        <w:tc>
          <w:tcPr>
            <w:tcW w:w="5212" w:type="dxa"/>
            <w:vAlign w:val="top"/>
          </w:tcPr>
          <w:p>
            <w:pPr>
              <w:autoSpaceDE w:val="0"/>
              <w:autoSpaceDN w:val="0"/>
              <w:adjustRightInd w:val="0"/>
              <w:rPr>
                <w:rFonts w:ascii="宋体" w:hAnsi="宋体"/>
                <w:szCs w:val="21"/>
              </w:rPr>
            </w:pPr>
            <w:r>
              <w:rPr>
                <w:rFonts w:ascii="宋体" w:hAnsi="宋体"/>
                <w:szCs w:val="21"/>
              </w:rPr>
              <w:t xml:space="preserve">电    话: </w:t>
            </w:r>
            <w:r>
              <w:rPr>
                <w:rFonts w:hint="eastAsia" w:ascii="宋体" w:hAnsi="宋体"/>
                <w:szCs w:val="21"/>
                <w:lang w:val="en-US" w:eastAsia="zh-CN"/>
              </w:rPr>
              <w:t>0436-6988992转806</w:t>
            </w:r>
          </w:p>
        </w:tc>
      </w:tr>
    </w:tbl>
    <w:p>
      <w:pPr>
        <w:spacing w:line="440" w:lineRule="exact"/>
        <w:rPr>
          <w:rFonts w:ascii="宋体" w:hAnsi="宋体"/>
          <w:sz w:val="24"/>
          <w:szCs w:val="24"/>
        </w:rPr>
      </w:pPr>
    </w:p>
    <w:p>
      <w:pPr>
        <w:spacing w:line="440" w:lineRule="exact"/>
        <w:jc w:val="right"/>
        <w:rPr>
          <w:sz w:val="24"/>
          <w:szCs w:val="24"/>
        </w:rPr>
      </w:pPr>
      <w:r>
        <w:rPr>
          <w:rFonts w:ascii="宋体" w:hAnsi="宋体"/>
          <w:szCs w:val="21"/>
        </w:rPr>
        <w:t>20</w:t>
      </w:r>
      <w:r>
        <w:rPr>
          <w:rFonts w:hint="eastAsia" w:ascii="宋体" w:hAnsi="宋体"/>
          <w:szCs w:val="21"/>
          <w:lang w:val="en-US" w:eastAsia="zh-CN"/>
        </w:rPr>
        <w:t>21</w:t>
      </w:r>
      <w:r>
        <w:rPr>
          <w:rFonts w:hint="eastAsia" w:ascii="宋体" w:hAnsi="宋体"/>
          <w:szCs w:val="21"/>
        </w:rPr>
        <w:t>年</w:t>
      </w:r>
      <w:r>
        <w:rPr>
          <w:rFonts w:hint="eastAsia" w:ascii="宋体" w:hAnsi="宋体"/>
          <w:szCs w:val="21"/>
          <w:lang w:val="en-US" w:eastAsia="zh-CN"/>
        </w:rPr>
        <w:t>07</w:t>
      </w:r>
      <w:r>
        <w:rPr>
          <w:rFonts w:hint="eastAsia" w:ascii="宋体" w:hAnsi="宋体"/>
          <w:szCs w:val="21"/>
        </w:rPr>
        <w:t>月</w:t>
      </w:r>
      <w:r>
        <w:rPr>
          <w:rFonts w:hint="eastAsia" w:ascii="宋体" w:hAnsi="宋体"/>
          <w:szCs w:val="21"/>
          <w:lang w:val="en-US" w:eastAsia="zh-CN"/>
        </w:rPr>
        <w:t>29</w:t>
      </w:r>
      <w:r>
        <w:rPr>
          <w:rFonts w:hint="eastAsia" w:ascii="宋体" w:hAnsi="宋体"/>
          <w:szCs w:val="21"/>
        </w:rPr>
        <w:t>日</w:t>
      </w:r>
    </w:p>
    <w:sectPr>
      <w:pgSz w:w="11906" w:h="16838"/>
      <w:pgMar w:top="1247" w:right="1418" w:bottom="1247"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pPr>
        <w:pStyle w:val="7"/>
        <w:rPr>
          <w:rFonts w:hint="eastAsia"/>
        </w:rPr>
      </w:pPr>
      <w:r>
        <w:rPr>
          <w:rStyle w:val="13"/>
        </w:rPr>
        <w:footnoteRef/>
      </w:r>
      <w:r>
        <w:rPr>
          <w:rFonts w:hint="eastAsia" w:ascii="黑体" w:hAnsi="黑体" w:eastAsia="黑体"/>
        </w:rPr>
        <w:t>投标人经审计的</w:t>
      </w:r>
      <w:r>
        <w:rPr>
          <w:rFonts w:hint="eastAsia" w:ascii="黑体" w:hAnsi="黑体" w:eastAsia="黑体"/>
          <w:b/>
        </w:rPr>
        <w:t>20</w:t>
      </w:r>
      <w:r>
        <w:rPr>
          <w:rFonts w:hint="eastAsia" w:ascii="黑体" w:hAnsi="黑体" w:eastAsia="黑体"/>
          <w:b/>
          <w:lang w:val="en-US" w:eastAsia="zh-CN"/>
        </w:rPr>
        <w:t>20</w:t>
      </w:r>
      <w:r>
        <w:rPr>
          <w:rFonts w:hint="eastAsia" w:ascii="黑体" w:hAnsi="黑体" w:eastAsia="黑体"/>
          <w:b/>
        </w:rPr>
        <w:t>年</w:t>
      </w:r>
      <w:r>
        <w:rPr>
          <w:rFonts w:hint="eastAsia" w:ascii="黑体" w:hAnsi="黑体" w:eastAsia="黑体"/>
        </w:rPr>
        <w:t>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1">
    <w:p>
      <w:pPr>
        <w:pStyle w:val="7"/>
        <w:rPr>
          <w:rFonts w:hint="eastAsia"/>
        </w:rPr>
      </w:pPr>
      <w:r>
        <w:rPr>
          <w:rStyle w:val="13"/>
        </w:rPr>
        <w:footnoteRef/>
      </w:r>
      <w:r>
        <w:t xml:space="preserve"> 具体信誉要求由招标人在满足国家相关法律法规前提下，根据招标项目具体特点和实际情况确定，但不得与 “投标人须知”第 1.4.4 项规定的内容重复</w:t>
      </w:r>
      <w:r>
        <w:rPr>
          <w:rFonts w:hint="eastAsia"/>
        </w:rPr>
        <w:t>。</w:t>
      </w:r>
    </w:p>
  </w:footnote>
  <w:footnote w:id="2">
    <w:p>
      <w:pPr>
        <w:pStyle w:val="7"/>
        <w:ind w:left="90" w:hanging="90"/>
      </w:pPr>
      <w:r>
        <w:rPr>
          <w:rStyle w:val="13"/>
        </w:rPr>
        <w:footnoteRef/>
      </w:r>
      <w:r>
        <w:rPr>
          <w:rFonts w:hint="eastAsia" w:ascii="宋体" w:hAnsi="宋体"/>
          <w:b/>
          <w:szCs w:val="21"/>
        </w:rPr>
        <w:t>本表中投标人自有人员</w:t>
      </w:r>
      <w:r>
        <w:rPr>
          <w:rFonts w:hint="eastAsia" w:ascii="宋体" w:hAnsi="宋体"/>
          <w:szCs w:val="21"/>
        </w:rPr>
        <w:t>指投标人为其缴纳社会保险（指养老保险）的人员，</w:t>
      </w:r>
      <w:r>
        <w:rPr>
          <w:rFonts w:hint="eastAsia"/>
          <w:szCs w:val="21"/>
          <w:lang w:val="zh-CN"/>
        </w:rPr>
        <w:t>参保截止日期应在申请截止时间前</w:t>
      </w:r>
      <w:r>
        <w:rPr>
          <w:szCs w:val="21"/>
          <w:lang w:val="zh-CN"/>
        </w:rPr>
        <w:t>3</w:t>
      </w:r>
      <w:r>
        <w:rPr>
          <w:rFonts w:hint="eastAsia"/>
          <w:szCs w:val="21"/>
          <w:lang w:val="zh-CN"/>
        </w:rPr>
        <w:t>个月内。</w:t>
      </w:r>
    </w:p>
  </w:footnote>
  <w:footnote w:id="3">
    <w:p>
      <w:pPr>
        <w:pStyle w:val="7"/>
        <w:ind w:left="90" w:hanging="90"/>
      </w:pPr>
      <w:r>
        <w:rPr>
          <w:rStyle w:val="13"/>
        </w:rPr>
        <w:footnoteRef/>
      </w:r>
      <w:r>
        <w:rPr>
          <w:rFonts w:hint="eastAsia" w:ascii="黑体" w:eastAsia="黑体" w:cs="宋体"/>
          <w:b/>
          <w:lang w:val="zh-CN"/>
        </w:rPr>
        <w:t>公路工程相关专业</w:t>
      </w:r>
      <w:r>
        <w:rPr>
          <w:rFonts w:hint="eastAsia" w:cs="宋体"/>
          <w:lang w:val="zh-CN"/>
        </w:rPr>
        <w:t>指其职称证上的专业为道桥、路桥、公路工程、交通土建、桥梁、交通工程与道桥相关的专业，如职称证上无专业，则其毕业证上的专业应为道桥、路桥、公路工程、交通土建、桥梁、交通工程与道桥相关的专业。</w:t>
      </w:r>
    </w:p>
  </w:footnote>
  <w:footnote w:id="4">
    <w:p>
      <w:pPr>
        <w:pStyle w:val="23"/>
        <w:shd w:val="clear" w:color="auto" w:fill="auto"/>
        <w:spacing w:before="0" w:line="319" w:lineRule="exact"/>
        <w:ind w:left="300"/>
        <w:jc w:val="both"/>
        <w:rPr>
          <w:highlight w:val="cyan"/>
        </w:rPr>
      </w:pPr>
      <w:r>
        <w:rPr>
          <w:rStyle w:val="13"/>
        </w:rPr>
        <w:footnoteRef/>
      </w:r>
      <w:r>
        <w:t xml:space="preserve"> </w:t>
      </w:r>
      <w:r>
        <w:rPr>
          <w:rFonts w:hint="eastAsia"/>
        </w:rPr>
        <w:t>招</w:t>
      </w:r>
      <w:r>
        <w:t>标人应根据项目具体情况确定各评分因素及评分因素权重分值，并对各评分因素进行细分（如有）、确定 各评分因素细分项的分值，各评分因素权重分值合计应为100分。各评分因素（评标价和履约信誉评分项除 外）得分一般不得低于其权重分值的60%，且各评分因素得分应以评标委员会各成员的打分平均值确定，评 标委员会成员总数为七人以上时，该平均值以去掉一个最高分和一个最低分后计算。评标委员会成员对某一 项评分因素的评分低于权重分值60%的，应在评标报告中作出说明。</w:t>
      </w:r>
    </w:p>
    <w:p>
      <w:pPr>
        <w:pStyle w:val="7"/>
        <w:jc w:val="both"/>
        <w:rPr>
          <w:rFonts w:ascii="宋体" w:hAnsi="宋体"/>
          <w:lang w:eastAsia="zh-TW"/>
        </w:rPr>
      </w:pPr>
    </w:p>
  </w:footnote>
  <w:footnote w:id="5">
    <w:p>
      <w:pPr>
        <w:pStyle w:val="7"/>
      </w:pPr>
      <w:r>
        <w:rPr>
          <w:rStyle w:val="13"/>
        </w:rPr>
        <w:footnoteRef/>
      </w:r>
      <w:r>
        <w:rPr>
          <w:rFonts w:hint="eastAsia"/>
        </w:rPr>
        <w:t xml:space="preserve">a.投标人信用评价等级：指投标人吉林省信用评价等级或投标人全国信用评价等级。 </w:t>
      </w:r>
    </w:p>
    <w:p>
      <w:pPr>
        <w:pStyle w:val="7"/>
      </w:pPr>
      <w:r>
        <w:rPr>
          <w:rFonts w:hint="eastAsia"/>
        </w:rPr>
        <w:t>b、投标人吉林省信用评价等级：指投标人在吉林省交通运输厅发布的 “关于发布201</w:t>
      </w:r>
      <w:r>
        <w:rPr>
          <w:rFonts w:hint="eastAsia"/>
          <w:lang w:val="en-US" w:eastAsia="zh-CN"/>
        </w:rPr>
        <w:t>9</w:t>
      </w:r>
      <w:r>
        <w:rPr>
          <w:rFonts w:hint="eastAsia"/>
        </w:rPr>
        <w:t>年度公路设计、施工企业吉林省省级综合评价结果的公告”中的201</w:t>
      </w:r>
      <w:r>
        <w:rPr>
          <w:rFonts w:hint="eastAsia"/>
          <w:lang w:val="en-US" w:eastAsia="zh-CN"/>
        </w:rPr>
        <w:t>9</w:t>
      </w:r>
      <w:r>
        <w:rPr>
          <w:rFonts w:hint="eastAsia"/>
        </w:rPr>
        <w:t>年的信用等级；投标人全国信用评价等级：指投标人在“全国公路建设市场信用信息管理系统”中“全国公路从业单位信用评价结果”中“201</w:t>
      </w:r>
      <w:r>
        <w:rPr>
          <w:rFonts w:hint="eastAsia"/>
          <w:lang w:val="en-US" w:eastAsia="zh-CN"/>
        </w:rPr>
        <w:t>8</w:t>
      </w:r>
      <w:r>
        <w:rPr>
          <w:rFonts w:hint="eastAsia"/>
        </w:rPr>
        <w:t xml:space="preserve">年施工单位”选项中的信用等级。 </w:t>
      </w:r>
    </w:p>
    <w:p>
      <w:pPr>
        <w:pStyle w:val="7"/>
      </w:pPr>
      <w:r>
        <w:rPr>
          <w:rFonts w:hint="eastAsia"/>
        </w:rPr>
        <w:t>c.投标人吉林省信用评价等级和投标人全国信用评价等级二者均有时，以两种信用评价等级</w:t>
      </w:r>
      <w:r>
        <w:rPr>
          <w:rFonts w:hint="eastAsia"/>
          <w:lang w:eastAsia="zh-CN"/>
        </w:rPr>
        <w:t>低</w:t>
      </w:r>
      <w:r>
        <w:rPr>
          <w:rFonts w:hint="eastAsia"/>
        </w:rPr>
        <w:t xml:space="preserve">的为准。 </w:t>
      </w:r>
    </w:p>
    <w:p>
      <w:pPr>
        <w:pStyle w:val="7"/>
      </w:pPr>
      <w:r>
        <w:rPr>
          <w:rFonts w:hint="eastAsia"/>
        </w:rPr>
        <w:t>d.无评价指投标人吉林省信用评价等级和投标人全国信用评价等级二者均没有的情况。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1200DC"/>
    <w:multiLevelType w:val="singleLevel"/>
    <w:tmpl w:val="C11200DC"/>
    <w:lvl w:ilvl="0" w:tentative="0">
      <w:start w:val="1"/>
      <w:numFmt w:val="decimal"/>
      <w:lvlText w:val="%1."/>
      <w:lvlJc w:val="left"/>
      <w:pPr>
        <w:tabs>
          <w:tab w:val="left" w:pos="312"/>
        </w:tabs>
      </w:pPr>
    </w:lvl>
  </w:abstractNum>
  <w:abstractNum w:abstractNumId="1">
    <w:nsid w:val="0000001F"/>
    <w:multiLevelType w:val="multilevel"/>
    <w:tmpl w:val="0000001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pStyle w:val="14"/>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2"/>
    <w:footnote w:id="13"/>
  </w:foot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17A3"/>
    <w:rsid w:val="00010836"/>
    <w:rsid w:val="00016D6D"/>
    <w:rsid w:val="00020B7B"/>
    <w:rsid w:val="000365D1"/>
    <w:rsid w:val="00062733"/>
    <w:rsid w:val="000643D4"/>
    <w:rsid w:val="00076FA0"/>
    <w:rsid w:val="000D105E"/>
    <w:rsid w:val="000E0E68"/>
    <w:rsid w:val="000F3A50"/>
    <w:rsid w:val="0010332F"/>
    <w:rsid w:val="0011017C"/>
    <w:rsid w:val="001146AD"/>
    <w:rsid w:val="00115036"/>
    <w:rsid w:val="00161E51"/>
    <w:rsid w:val="001636FF"/>
    <w:rsid w:val="001674D1"/>
    <w:rsid w:val="00181E32"/>
    <w:rsid w:val="001910D5"/>
    <w:rsid w:val="00197F11"/>
    <w:rsid w:val="001A2B09"/>
    <w:rsid w:val="001A6B5B"/>
    <w:rsid w:val="001C545C"/>
    <w:rsid w:val="001D4265"/>
    <w:rsid w:val="001F0909"/>
    <w:rsid w:val="00207FF3"/>
    <w:rsid w:val="002749F0"/>
    <w:rsid w:val="00276EB4"/>
    <w:rsid w:val="00281A85"/>
    <w:rsid w:val="002964A6"/>
    <w:rsid w:val="002B19A0"/>
    <w:rsid w:val="002B1ADE"/>
    <w:rsid w:val="002B37F3"/>
    <w:rsid w:val="002B707B"/>
    <w:rsid w:val="002D3BE5"/>
    <w:rsid w:val="002E24C0"/>
    <w:rsid w:val="0030060B"/>
    <w:rsid w:val="003154F6"/>
    <w:rsid w:val="00324C4C"/>
    <w:rsid w:val="003539C1"/>
    <w:rsid w:val="00355D85"/>
    <w:rsid w:val="0036589D"/>
    <w:rsid w:val="003661D1"/>
    <w:rsid w:val="00381098"/>
    <w:rsid w:val="00392D0F"/>
    <w:rsid w:val="00394662"/>
    <w:rsid w:val="003C3FF4"/>
    <w:rsid w:val="003D29A7"/>
    <w:rsid w:val="003D58C1"/>
    <w:rsid w:val="003E499B"/>
    <w:rsid w:val="003F5406"/>
    <w:rsid w:val="004121F4"/>
    <w:rsid w:val="00416B53"/>
    <w:rsid w:val="0042770A"/>
    <w:rsid w:val="00427AC4"/>
    <w:rsid w:val="004341EE"/>
    <w:rsid w:val="00446F9C"/>
    <w:rsid w:val="00456F9C"/>
    <w:rsid w:val="00473B3B"/>
    <w:rsid w:val="00487A4D"/>
    <w:rsid w:val="004A3ADA"/>
    <w:rsid w:val="004B443C"/>
    <w:rsid w:val="004D17A3"/>
    <w:rsid w:val="004D3C2D"/>
    <w:rsid w:val="004D41A8"/>
    <w:rsid w:val="00505F43"/>
    <w:rsid w:val="00517996"/>
    <w:rsid w:val="00537D33"/>
    <w:rsid w:val="00542BB3"/>
    <w:rsid w:val="00547201"/>
    <w:rsid w:val="005521EB"/>
    <w:rsid w:val="0057462B"/>
    <w:rsid w:val="00582265"/>
    <w:rsid w:val="00594413"/>
    <w:rsid w:val="005A4F70"/>
    <w:rsid w:val="005B6FF4"/>
    <w:rsid w:val="005E30E2"/>
    <w:rsid w:val="00601E2F"/>
    <w:rsid w:val="00607255"/>
    <w:rsid w:val="0061467B"/>
    <w:rsid w:val="00651881"/>
    <w:rsid w:val="00673910"/>
    <w:rsid w:val="00694218"/>
    <w:rsid w:val="006D4598"/>
    <w:rsid w:val="00705FCB"/>
    <w:rsid w:val="00713029"/>
    <w:rsid w:val="0072095A"/>
    <w:rsid w:val="00730F3B"/>
    <w:rsid w:val="00733494"/>
    <w:rsid w:val="00762640"/>
    <w:rsid w:val="00772E27"/>
    <w:rsid w:val="00781441"/>
    <w:rsid w:val="007860D3"/>
    <w:rsid w:val="007936FB"/>
    <w:rsid w:val="007A6549"/>
    <w:rsid w:val="007D7768"/>
    <w:rsid w:val="007F3AF6"/>
    <w:rsid w:val="0081266B"/>
    <w:rsid w:val="008152C1"/>
    <w:rsid w:val="008B3BDD"/>
    <w:rsid w:val="008B6810"/>
    <w:rsid w:val="008D3A54"/>
    <w:rsid w:val="008E3C11"/>
    <w:rsid w:val="008E69F6"/>
    <w:rsid w:val="00910033"/>
    <w:rsid w:val="0091320F"/>
    <w:rsid w:val="00915529"/>
    <w:rsid w:val="00922F24"/>
    <w:rsid w:val="00945227"/>
    <w:rsid w:val="00957137"/>
    <w:rsid w:val="00965AE7"/>
    <w:rsid w:val="00990B85"/>
    <w:rsid w:val="009926AD"/>
    <w:rsid w:val="009B4702"/>
    <w:rsid w:val="009C15CE"/>
    <w:rsid w:val="009D1B61"/>
    <w:rsid w:val="009D5DE8"/>
    <w:rsid w:val="009E3581"/>
    <w:rsid w:val="009E392F"/>
    <w:rsid w:val="009E57C8"/>
    <w:rsid w:val="009E5D12"/>
    <w:rsid w:val="009E65C3"/>
    <w:rsid w:val="00A015F2"/>
    <w:rsid w:val="00A14725"/>
    <w:rsid w:val="00A43E35"/>
    <w:rsid w:val="00A62AA1"/>
    <w:rsid w:val="00A77DD4"/>
    <w:rsid w:val="00AA0273"/>
    <w:rsid w:val="00AA5DF3"/>
    <w:rsid w:val="00B141A1"/>
    <w:rsid w:val="00B2526D"/>
    <w:rsid w:val="00B34929"/>
    <w:rsid w:val="00B34DFD"/>
    <w:rsid w:val="00B577BA"/>
    <w:rsid w:val="00B74540"/>
    <w:rsid w:val="00B80E4E"/>
    <w:rsid w:val="00BC2332"/>
    <w:rsid w:val="00BC3EF1"/>
    <w:rsid w:val="00BE13FD"/>
    <w:rsid w:val="00C07D20"/>
    <w:rsid w:val="00C207CE"/>
    <w:rsid w:val="00C233E4"/>
    <w:rsid w:val="00C26FF4"/>
    <w:rsid w:val="00C44C77"/>
    <w:rsid w:val="00C5211A"/>
    <w:rsid w:val="00C83CE9"/>
    <w:rsid w:val="00C85322"/>
    <w:rsid w:val="00CC1F75"/>
    <w:rsid w:val="00CE6994"/>
    <w:rsid w:val="00CF0D1E"/>
    <w:rsid w:val="00CF6A20"/>
    <w:rsid w:val="00D01C5C"/>
    <w:rsid w:val="00D5070A"/>
    <w:rsid w:val="00D77AB9"/>
    <w:rsid w:val="00D84986"/>
    <w:rsid w:val="00D96550"/>
    <w:rsid w:val="00D9727E"/>
    <w:rsid w:val="00DA1976"/>
    <w:rsid w:val="00DA6B7E"/>
    <w:rsid w:val="00DB2792"/>
    <w:rsid w:val="00DE78CC"/>
    <w:rsid w:val="00E02FBF"/>
    <w:rsid w:val="00E21F0A"/>
    <w:rsid w:val="00E60B23"/>
    <w:rsid w:val="00E81704"/>
    <w:rsid w:val="00EA178E"/>
    <w:rsid w:val="00EA56B2"/>
    <w:rsid w:val="00F12C99"/>
    <w:rsid w:val="00F15510"/>
    <w:rsid w:val="00F65AC3"/>
    <w:rsid w:val="00F83431"/>
    <w:rsid w:val="00F91EC0"/>
    <w:rsid w:val="00FA56CF"/>
    <w:rsid w:val="00FA599C"/>
    <w:rsid w:val="00FA7EEF"/>
    <w:rsid w:val="00FE2B04"/>
    <w:rsid w:val="0BDE2351"/>
    <w:rsid w:val="0C1532A2"/>
    <w:rsid w:val="0DEC388F"/>
    <w:rsid w:val="0E3D7B4A"/>
    <w:rsid w:val="0F185C18"/>
    <w:rsid w:val="129C789B"/>
    <w:rsid w:val="17D70C12"/>
    <w:rsid w:val="1B8E2031"/>
    <w:rsid w:val="1EDC7E88"/>
    <w:rsid w:val="23A271DC"/>
    <w:rsid w:val="2A1E0DB4"/>
    <w:rsid w:val="2C066C0F"/>
    <w:rsid w:val="2D6F3433"/>
    <w:rsid w:val="2F56315D"/>
    <w:rsid w:val="31CB6449"/>
    <w:rsid w:val="320D3AD1"/>
    <w:rsid w:val="34FA0950"/>
    <w:rsid w:val="36730588"/>
    <w:rsid w:val="37417818"/>
    <w:rsid w:val="39B36249"/>
    <w:rsid w:val="3E30071D"/>
    <w:rsid w:val="3E4467E0"/>
    <w:rsid w:val="41256B04"/>
    <w:rsid w:val="442353A2"/>
    <w:rsid w:val="45EA49A6"/>
    <w:rsid w:val="46B860DA"/>
    <w:rsid w:val="4CA53043"/>
    <w:rsid w:val="4D4242A1"/>
    <w:rsid w:val="4D7839F9"/>
    <w:rsid w:val="533258B8"/>
    <w:rsid w:val="5372722B"/>
    <w:rsid w:val="53AD4232"/>
    <w:rsid w:val="595F5990"/>
    <w:rsid w:val="5ED816D9"/>
    <w:rsid w:val="618D4E00"/>
    <w:rsid w:val="638634BC"/>
    <w:rsid w:val="64D62DD1"/>
    <w:rsid w:val="652C06A2"/>
    <w:rsid w:val="6758648D"/>
    <w:rsid w:val="69B80C17"/>
    <w:rsid w:val="6A1D7656"/>
    <w:rsid w:val="6BA228CA"/>
    <w:rsid w:val="700F492C"/>
    <w:rsid w:val="71F17EEC"/>
    <w:rsid w:val="7536075E"/>
    <w:rsid w:val="77097B14"/>
    <w:rsid w:val="7B2C1B85"/>
    <w:rsid w:val="7C42130E"/>
    <w:rsid w:val="7CB913BA"/>
    <w:rsid w:val="7D8C5932"/>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微软雅黑"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1" w:semiHidden="0" w:name="heading 2" w:locked="1"/>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99" w:semiHidden="0"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qFormat/>
    <w:locked/>
    <w:uiPriority w:val="1"/>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15"/>
    <w:qFormat/>
    <w:uiPriority w:val="99"/>
    <w:pPr>
      <w:keepNext/>
      <w:keepLines/>
      <w:spacing w:before="260" w:after="260" w:line="416" w:lineRule="auto"/>
      <w:outlineLvl w:val="2"/>
    </w:pPr>
    <w:rPr>
      <w:b/>
      <w:bCs/>
      <w:kern w:val="0"/>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qFormat/>
    <w:uiPriority w:val="0"/>
    <w:pPr>
      <w:adjustRightInd w:val="0"/>
      <w:snapToGrid w:val="0"/>
      <w:spacing w:line="360" w:lineRule="auto"/>
      <w:jc w:val="center"/>
    </w:pPr>
    <w:rPr>
      <w:rFonts w:ascii="宋体" w:hAnsi="宋体" w:eastAsia="宋体" w:cs="宋体"/>
      <w:bCs/>
      <w:kern w:val="0"/>
      <w:sz w:val="21"/>
      <w:szCs w:val="21"/>
    </w:rPr>
  </w:style>
  <w:style w:type="paragraph" w:styleId="5">
    <w:name w:val="footer"/>
    <w:basedOn w:val="1"/>
    <w:link w:val="17"/>
    <w:qFormat/>
    <w:uiPriority w:val="99"/>
    <w:pPr>
      <w:tabs>
        <w:tab w:val="center" w:pos="4153"/>
        <w:tab w:val="right" w:pos="8306"/>
      </w:tabs>
      <w:snapToGrid w:val="0"/>
      <w:jc w:val="left"/>
    </w:pPr>
    <w:rPr>
      <w:rFonts w:ascii="Times New Roman" w:hAnsi="Times New Roman"/>
      <w:sz w:val="18"/>
      <w:szCs w:val="18"/>
    </w:rPr>
  </w:style>
  <w:style w:type="paragraph" w:styleId="6">
    <w:name w:val="header"/>
    <w:basedOn w:val="1"/>
    <w:link w:val="16"/>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7">
    <w:name w:val="footnote text"/>
    <w:basedOn w:val="1"/>
    <w:link w:val="20"/>
    <w:qFormat/>
    <w:uiPriority w:val="0"/>
    <w:pPr>
      <w:snapToGrid w:val="0"/>
      <w:jc w:val="left"/>
    </w:pPr>
    <w:rPr>
      <w:kern w:val="0"/>
      <w:sz w:val="18"/>
      <w:szCs w:val="18"/>
    </w:rPr>
  </w:style>
  <w:style w:type="paragraph" w:styleId="8">
    <w:name w:val="Body Text Indent 3"/>
    <w:basedOn w:val="1"/>
    <w:link w:val="18"/>
    <w:qFormat/>
    <w:uiPriority w:val="99"/>
    <w:pPr>
      <w:spacing w:line="420" w:lineRule="exact"/>
      <w:ind w:firstLine="420" w:firstLineChars="200"/>
    </w:pPr>
    <w:rPr>
      <w:rFonts w:ascii="Times New Roman" w:hAnsi="Times New Roman"/>
      <w:szCs w:val="24"/>
    </w:rPr>
  </w:style>
  <w:style w:type="paragraph" w:styleId="9">
    <w:name w:val="Normal (Web)"/>
    <w:basedOn w:val="1"/>
    <w:qFormat/>
    <w:uiPriority w:val="0"/>
    <w:pPr>
      <w:widowControl/>
      <w:spacing w:before="100" w:beforeAutospacing="1" w:after="100" w:afterAutospacing="1"/>
      <w:jc w:val="left"/>
    </w:pPr>
    <w:rPr>
      <w:rFonts w:ascii="宋体" w:hAnsi="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otnote reference"/>
    <w:basedOn w:val="12"/>
    <w:qFormat/>
    <w:uiPriority w:val="0"/>
    <w:rPr>
      <w:rFonts w:cs="Times New Roman"/>
      <w:vertAlign w:val="superscript"/>
    </w:rPr>
  </w:style>
  <w:style w:type="paragraph" w:customStyle="1" w:styleId="14">
    <w:name w:val="首行缩进"/>
    <w:basedOn w:val="1"/>
    <w:qFormat/>
    <w:uiPriority w:val="0"/>
    <w:pPr>
      <w:widowControl/>
      <w:numPr>
        <w:ilvl w:val="6"/>
        <w:numId w:val="1"/>
      </w:numPr>
      <w:tabs>
        <w:tab w:val="left" w:pos="822"/>
      </w:tabs>
      <w:snapToGrid w:val="0"/>
      <w:spacing w:line="300" w:lineRule="atLeast"/>
    </w:pPr>
    <w:rPr>
      <w:rFonts w:ascii="Arial" w:hAnsi="Arial"/>
      <w:szCs w:val="20"/>
    </w:rPr>
  </w:style>
  <w:style w:type="character" w:customStyle="1" w:styleId="15">
    <w:name w:val="标题 3 Char"/>
    <w:basedOn w:val="12"/>
    <w:link w:val="4"/>
    <w:qFormat/>
    <w:locked/>
    <w:uiPriority w:val="99"/>
    <w:rPr>
      <w:rFonts w:ascii="Calibri" w:hAnsi="Calibri" w:cs="Times New Roman"/>
      <w:b/>
      <w:bCs/>
      <w:sz w:val="32"/>
      <w:szCs w:val="32"/>
    </w:rPr>
  </w:style>
  <w:style w:type="character" w:customStyle="1" w:styleId="16">
    <w:name w:val="页眉 Char"/>
    <w:basedOn w:val="12"/>
    <w:link w:val="6"/>
    <w:qFormat/>
    <w:locked/>
    <w:uiPriority w:val="99"/>
    <w:rPr>
      <w:rFonts w:cs="Times New Roman"/>
      <w:kern w:val="2"/>
      <w:sz w:val="18"/>
      <w:szCs w:val="18"/>
    </w:rPr>
  </w:style>
  <w:style w:type="character" w:customStyle="1" w:styleId="17">
    <w:name w:val="页脚 Char"/>
    <w:basedOn w:val="12"/>
    <w:link w:val="5"/>
    <w:qFormat/>
    <w:locked/>
    <w:uiPriority w:val="99"/>
    <w:rPr>
      <w:rFonts w:cs="Times New Roman"/>
      <w:kern w:val="2"/>
      <w:sz w:val="18"/>
      <w:szCs w:val="18"/>
    </w:rPr>
  </w:style>
  <w:style w:type="character" w:customStyle="1" w:styleId="18">
    <w:name w:val="正文文本缩进 3 Char"/>
    <w:basedOn w:val="12"/>
    <w:link w:val="8"/>
    <w:qFormat/>
    <w:locked/>
    <w:uiPriority w:val="99"/>
    <w:rPr>
      <w:rFonts w:cs="Times New Roman"/>
      <w:kern w:val="2"/>
      <w:sz w:val="24"/>
      <w:szCs w:val="24"/>
    </w:rPr>
  </w:style>
  <w:style w:type="paragraph" w:customStyle="1" w:styleId="19">
    <w:name w:val="样式3"/>
    <w:basedOn w:val="1"/>
    <w:qFormat/>
    <w:uiPriority w:val="99"/>
    <w:pPr>
      <w:keepNext/>
      <w:keepLines/>
      <w:spacing w:line="400" w:lineRule="exact"/>
      <w:outlineLvl w:val="0"/>
    </w:pPr>
    <w:rPr>
      <w:rFonts w:ascii="Times New Roman" w:hAnsi="Times New Roman"/>
      <w:b/>
      <w:bCs/>
      <w:kern w:val="44"/>
      <w:sz w:val="28"/>
      <w:szCs w:val="44"/>
    </w:rPr>
  </w:style>
  <w:style w:type="character" w:customStyle="1" w:styleId="20">
    <w:name w:val="脚注文本 Char"/>
    <w:basedOn w:val="12"/>
    <w:link w:val="7"/>
    <w:qFormat/>
    <w:locked/>
    <w:uiPriority w:val="0"/>
    <w:rPr>
      <w:rFonts w:ascii="Calibri" w:hAnsi="Calibri" w:cs="Times New Roman"/>
      <w:sz w:val="18"/>
      <w:szCs w:val="18"/>
    </w:rPr>
  </w:style>
  <w:style w:type="paragraph" w:styleId="21">
    <w:name w:val="No Spacing"/>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
    <w:name w:val="无间隔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
    <w:name w:val="正文文本 (14)"/>
    <w:basedOn w:val="1"/>
    <w:qFormat/>
    <w:uiPriority w:val="0"/>
    <w:pPr>
      <w:shd w:val="clear" w:color="auto" w:fill="FFFFFF"/>
      <w:spacing w:before="300" w:line="300" w:lineRule="exact"/>
      <w:jc w:val="distribute"/>
    </w:pPr>
    <w:rPr>
      <w:rFonts w:ascii="宋体" w:hAnsi="宋体"/>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Pages>
  <Words>988</Words>
  <Characters>5633</Characters>
  <Lines>46</Lines>
  <Paragraphs>13</Paragraphs>
  <TotalTime>0</TotalTime>
  <ScaleCrop>false</ScaleCrop>
  <LinksUpToDate>false</LinksUpToDate>
  <CharactersWithSpaces>6608</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2017-02-06T08:34:00Z</dcterms:created>
  <dc:creator>think</dc:creator>
  <cp:lastModifiedBy>Administrator</cp:lastModifiedBy>
  <cp:lastPrinted>2019-04-19T02:07:00Z</cp:lastPrinted>
  <dcterms:modified xsi:type="dcterms:W3CDTF">2021-07-29T00:35:32Z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907818F2D8C14035A6FC9EFEC9D7FF1F</vt:lpwstr>
  </property>
</Properties>
</file>