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line="360" w:lineRule="auto"/>
        <w:ind w:firstLine="562" w:firstLineChars="200"/>
        <w:jc w:val="center"/>
        <w:outlineLvl w:val="2"/>
        <w:rPr>
          <w:b/>
          <w:sz w:val="28"/>
          <w:szCs w:val="28"/>
        </w:rPr>
      </w:pPr>
      <w:bookmarkStart w:id="0" w:name="_Hlk4400556"/>
      <w:r>
        <w:rPr>
          <w:rFonts w:hint="eastAsia"/>
          <w:b/>
          <w:sz w:val="28"/>
          <w:szCs w:val="28"/>
          <w:lang w:eastAsia="zh-CN"/>
        </w:rPr>
        <w:t>洮北区“四好农村路”美丽农村路建设项目</w:t>
      </w:r>
      <w:r>
        <w:rPr>
          <w:rFonts w:hint="eastAsia"/>
          <w:b/>
          <w:sz w:val="28"/>
          <w:szCs w:val="28"/>
        </w:rPr>
        <w:t>施工招标</w:t>
      </w:r>
    </w:p>
    <w:p>
      <w:pPr>
        <w:keepNext/>
        <w:keepLines/>
        <w:spacing w:line="360" w:lineRule="auto"/>
        <w:ind w:firstLine="560" w:firstLineChars="200"/>
        <w:jc w:val="center"/>
        <w:outlineLvl w:val="2"/>
        <w:rPr>
          <w:rFonts w:ascii="黑体" w:hAnsi="黑体" w:eastAsia="黑体" w:cs="黑体"/>
          <w:sz w:val="28"/>
          <w:szCs w:val="28"/>
        </w:rPr>
      </w:pPr>
      <w:r>
        <w:rPr>
          <w:rFonts w:hint="eastAsia" w:ascii="黑体" w:hAnsi="黑体" w:eastAsia="黑体" w:cs="黑体"/>
          <w:sz w:val="28"/>
          <w:szCs w:val="28"/>
        </w:rPr>
        <w:t>招标文件关键内容信息公开</w:t>
      </w:r>
    </w:p>
    <w:bookmarkEnd w:id="0"/>
    <w:p>
      <w:pPr>
        <w:autoSpaceDE w:val="0"/>
        <w:autoSpaceDN w:val="0"/>
        <w:adjustRightInd w:val="0"/>
        <w:jc w:val="left"/>
        <w:outlineLvl w:val="0"/>
        <w:rPr>
          <w:rFonts w:hint="eastAsia" w:ascii="宋体" w:hAnsi="宋体" w:eastAsia="宋体" w:cs="宋体"/>
          <w:b/>
          <w:bCs/>
          <w:kern w:val="0"/>
          <w:sz w:val="21"/>
          <w:szCs w:val="21"/>
          <w:lang w:val="zh-CN"/>
        </w:rPr>
      </w:pPr>
      <w:bookmarkStart w:id="1" w:name="_Toc6567703"/>
      <w:bookmarkStart w:id="2" w:name="_Toc13153368"/>
      <w:r>
        <w:rPr>
          <w:rFonts w:hint="eastAsia" w:ascii="宋体" w:hAnsi="宋体" w:eastAsia="宋体" w:cs="宋体"/>
          <w:b/>
          <w:bCs/>
          <w:kern w:val="0"/>
          <w:sz w:val="21"/>
          <w:szCs w:val="21"/>
          <w:lang w:val="zh-CN"/>
        </w:rPr>
        <w:t>1</w:t>
      </w:r>
      <w:r>
        <w:rPr>
          <w:rFonts w:hint="eastAsia" w:ascii="宋体" w:hAnsi="宋体" w:eastAsia="宋体" w:cs="宋体"/>
          <w:b/>
          <w:bCs/>
          <w:kern w:val="0"/>
          <w:sz w:val="21"/>
          <w:szCs w:val="21"/>
        </w:rPr>
        <w:t>.</w:t>
      </w:r>
      <w:r>
        <w:rPr>
          <w:rFonts w:hint="eastAsia" w:ascii="宋体" w:hAnsi="宋体" w:eastAsia="宋体" w:cs="宋体"/>
          <w:b/>
          <w:bCs/>
          <w:kern w:val="0"/>
          <w:sz w:val="21"/>
          <w:szCs w:val="21"/>
          <w:lang w:val="zh-CN"/>
        </w:rPr>
        <w:t>招标条件</w:t>
      </w:r>
      <w:bookmarkEnd w:id="1"/>
      <w:bookmarkEnd w:id="2"/>
    </w:p>
    <w:p>
      <w:pPr>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rPr>
        <w:t>本招标项目</w:t>
      </w:r>
      <w:r>
        <w:rPr>
          <w:rFonts w:hint="eastAsia" w:ascii="宋体" w:hAnsi="宋体" w:eastAsia="宋体" w:cs="宋体"/>
          <w:b w:val="0"/>
          <w:bCs/>
          <w:kern w:val="0"/>
          <w:sz w:val="21"/>
          <w:szCs w:val="21"/>
        </w:rPr>
        <w:t>洮北区“四好农村路”美丽农村路建设项目</w:t>
      </w:r>
      <w:r>
        <w:rPr>
          <w:rFonts w:hint="eastAsia" w:ascii="宋体" w:hAnsi="宋体" w:eastAsia="宋体" w:cs="宋体"/>
          <w:kern w:val="0"/>
          <w:sz w:val="21"/>
          <w:szCs w:val="21"/>
        </w:rPr>
        <w:t>已由白城市</w:t>
      </w:r>
      <w:r>
        <w:rPr>
          <w:rFonts w:hint="eastAsia" w:ascii="宋体" w:hAnsi="宋体" w:eastAsia="宋体" w:cs="宋体"/>
          <w:spacing w:val="12"/>
          <w:kern w:val="0"/>
          <w:sz w:val="21"/>
          <w:szCs w:val="21"/>
        </w:rPr>
        <w:t>洮北区发展和改革局以“白洮发改字[20</w:t>
      </w:r>
      <w:r>
        <w:rPr>
          <w:rFonts w:hint="eastAsia" w:ascii="宋体" w:hAnsi="宋体" w:eastAsia="宋体" w:cs="宋体"/>
          <w:spacing w:val="12"/>
          <w:kern w:val="0"/>
          <w:sz w:val="21"/>
          <w:szCs w:val="21"/>
          <w:lang w:val="en-US" w:eastAsia="zh-CN"/>
        </w:rPr>
        <w:t>20</w:t>
      </w:r>
      <w:r>
        <w:rPr>
          <w:rFonts w:hint="eastAsia" w:ascii="宋体" w:hAnsi="宋体" w:eastAsia="宋体" w:cs="宋体"/>
          <w:spacing w:val="12"/>
          <w:kern w:val="0"/>
          <w:sz w:val="21"/>
          <w:szCs w:val="21"/>
        </w:rPr>
        <w:t>]</w:t>
      </w:r>
      <w:r>
        <w:rPr>
          <w:rFonts w:hint="eastAsia" w:ascii="宋体" w:hAnsi="宋体" w:eastAsia="宋体" w:cs="宋体"/>
          <w:spacing w:val="12"/>
          <w:kern w:val="0"/>
          <w:sz w:val="21"/>
          <w:szCs w:val="21"/>
          <w:lang w:val="en-US" w:eastAsia="zh-CN"/>
        </w:rPr>
        <w:t>73</w:t>
      </w:r>
      <w:r>
        <w:rPr>
          <w:rFonts w:hint="eastAsia" w:ascii="宋体" w:hAnsi="宋体" w:eastAsia="宋体" w:cs="宋体"/>
          <w:spacing w:val="12"/>
          <w:kern w:val="0"/>
          <w:sz w:val="21"/>
          <w:szCs w:val="21"/>
        </w:rPr>
        <w:t>号”</w:t>
      </w:r>
      <w:r>
        <w:rPr>
          <w:rFonts w:hint="eastAsia" w:ascii="宋体" w:hAnsi="宋体" w:eastAsia="宋体" w:cs="宋体"/>
          <w:spacing w:val="12"/>
          <w:kern w:val="0"/>
          <w:sz w:val="21"/>
          <w:szCs w:val="21"/>
          <w:lang w:val="en-US" w:eastAsia="zh-CN"/>
        </w:rPr>
        <w:t>文件</w:t>
      </w:r>
      <w:r>
        <w:rPr>
          <w:rFonts w:hint="eastAsia" w:ascii="宋体" w:hAnsi="宋体" w:eastAsia="宋体" w:cs="宋体"/>
          <w:spacing w:val="12"/>
          <w:kern w:val="0"/>
          <w:sz w:val="21"/>
          <w:szCs w:val="21"/>
        </w:rPr>
        <w:t>批准建设</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施工图</w:t>
      </w:r>
      <w:r>
        <w:rPr>
          <w:rFonts w:hint="eastAsia" w:ascii="宋体" w:hAnsi="宋体" w:eastAsia="宋体" w:cs="宋体"/>
          <w:kern w:val="0"/>
          <w:sz w:val="21"/>
          <w:szCs w:val="21"/>
        </w:rPr>
        <w:t>设计文件已由白城市洮北区交通运输局“白洮交发[20</w:t>
      </w:r>
      <w:r>
        <w:rPr>
          <w:rFonts w:hint="eastAsia" w:ascii="宋体" w:hAnsi="宋体" w:eastAsia="宋体" w:cs="宋体"/>
          <w:kern w:val="0"/>
          <w:sz w:val="21"/>
          <w:szCs w:val="21"/>
          <w:lang w:val="en-US" w:eastAsia="zh-CN"/>
        </w:rPr>
        <w:t>20</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43</w:t>
      </w:r>
      <w:r>
        <w:rPr>
          <w:rFonts w:hint="eastAsia" w:ascii="宋体" w:hAnsi="宋体" w:eastAsia="宋体" w:cs="宋体"/>
          <w:kern w:val="0"/>
          <w:sz w:val="21"/>
          <w:szCs w:val="21"/>
        </w:rPr>
        <w:t>号”文件批复。项目业主为白城市洮北区公路建设办公室，招标人为</w:t>
      </w:r>
      <w:r>
        <w:rPr>
          <w:rFonts w:hint="eastAsia" w:ascii="宋体" w:hAnsi="宋体" w:eastAsia="宋体" w:cs="宋体"/>
          <w:b w:val="0"/>
          <w:bCs/>
          <w:kern w:val="0"/>
          <w:sz w:val="21"/>
          <w:szCs w:val="21"/>
        </w:rPr>
        <w:t>白城市洮北区公路建设办公室</w:t>
      </w:r>
      <w:r>
        <w:rPr>
          <w:rFonts w:hint="eastAsia" w:ascii="宋体" w:hAnsi="宋体" w:eastAsia="宋体" w:cs="宋体"/>
          <w:kern w:val="0"/>
          <w:sz w:val="21"/>
          <w:szCs w:val="21"/>
        </w:rPr>
        <w:t>，建设资金来源为</w:t>
      </w:r>
      <w:r>
        <w:rPr>
          <w:rFonts w:hint="eastAsia" w:ascii="宋体" w:hAnsi="宋体" w:eastAsia="宋体" w:cs="宋体"/>
          <w:kern w:val="0"/>
          <w:sz w:val="21"/>
          <w:szCs w:val="21"/>
          <w:highlight w:val="none"/>
        </w:rPr>
        <w:t>地方自筹资金。项目已具备招标条件，现对该项目的施工实行公开招标。</w:t>
      </w:r>
    </w:p>
    <w:p>
      <w:pPr>
        <w:autoSpaceDE w:val="0"/>
        <w:autoSpaceDN w:val="0"/>
        <w:adjustRightInd w:val="0"/>
        <w:jc w:val="left"/>
        <w:outlineLvl w:val="0"/>
        <w:rPr>
          <w:rFonts w:hint="eastAsia" w:ascii="宋体" w:hAnsi="宋体" w:eastAsia="宋体" w:cs="宋体"/>
          <w:b/>
          <w:bCs/>
          <w:kern w:val="0"/>
          <w:sz w:val="21"/>
          <w:szCs w:val="21"/>
          <w:lang w:val="zh-CN"/>
        </w:rPr>
      </w:pPr>
      <w:bookmarkStart w:id="3" w:name="_Toc13153369"/>
      <w:bookmarkStart w:id="4" w:name="_Toc474500996"/>
      <w:bookmarkStart w:id="5" w:name="_Toc6567704"/>
      <w:r>
        <w:rPr>
          <w:rFonts w:hint="eastAsia" w:ascii="宋体" w:hAnsi="宋体" w:eastAsia="宋体" w:cs="宋体"/>
          <w:b/>
          <w:bCs/>
          <w:kern w:val="0"/>
          <w:sz w:val="21"/>
          <w:szCs w:val="21"/>
          <w:lang w:val="zh-CN"/>
        </w:rPr>
        <w:t>2.项目概况与招标范围</w:t>
      </w:r>
      <w:bookmarkEnd w:id="3"/>
      <w:bookmarkEnd w:id="4"/>
      <w:bookmarkEnd w:id="5"/>
    </w:p>
    <w:p>
      <w:pPr>
        <w:spacing w:line="360" w:lineRule="exact"/>
        <w:ind w:firstLine="411" w:firstLineChars="196"/>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2.1、建设地点：白城市洮北区金祥乡、青山镇境内</w:t>
      </w:r>
    </w:p>
    <w:p>
      <w:pPr>
        <w:spacing w:line="360" w:lineRule="exact"/>
        <w:ind w:firstLine="411" w:firstLineChars="196"/>
        <w:rPr>
          <w:rFonts w:hint="eastAsia" w:ascii="宋体" w:hAnsi="宋体" w:eastAsia="宋体" w:cs="宋体"/>
          <w:b w:val="0"/>
          <w:bCs/>
          <w:sz w:val="21"/>
          <w:szCs w:val="21"/>
          <w:lang w:val="en-US" w:eastAsia="zh-CN"/>
        </w:rPr>
      </w:pPr>
      <w:r>
        <w:rPr>
          <w:rFonts w:hint="eastAsia" w:ascii="宋体" w:hAnsi="宋体" w:eastAsia="宋体" w:cs="宋体"/>
          <w:b w:val="0"/>
          <w:bCs/>
          <w:sz w:val="21"/>
          <w:szCs w:val="21"/>
        </w:rPr>
        <w:t>2.</w:t>
      </w:r>
      <w:r>
        <w:rPr>
          <w:rFonts w:hint="eastAsia" w:ascii="宋体" w:hAnsi="宋体" w:eastAsia="宋体" w:cs="宋体"/>
          <w:b w:val="0"/>
          <w:bCs/>
          <w:sz w:val="21"/>
          <w:szCs w:val="21"/>
          <w:lang w:val="en-US" w:eastAsia="zh-CN"/>
        </w:rPr>
        <w:t>2、</w:t>
      </w:r>
      <w:r>
        <w:rPr>
          <w:rFonts w:hint="eastAsia" w:ascii="宋体" w:hAnsi="宋体"/>
          <w:sz w:val="21"/>
          <w:szCs w:val="21"/>
        </w:rPr>
        <w:t>工程规模：</w:t>
      </w:r>
      <w:r>
        <w:rPr>
          <w:rFonts w:hint="eastAsia" w:ascii="宋体" w:hAnsi="宋体" w:eastAsia="宋体" w:cs="宋体"/>
          <w:b w:val="0"/>
          <w:bCs/>
          <w:sz w:val="21"/>
          <w:szCs w:val="21"/>
          <w:lang w:val="en-US" w:eastAsia="zh-CN"/>
        </w:rPr>
        <w:t>永胜到富裕新建</w:t>
      </w:r>
      <w:r>
        <w:rPr>
          <w:rFonts w:hint="eastAsia" w:ascii="宋体" w:hAnsi="宋体" w:eastAsia="宋体" w:cs="宋体"/>
          <w:b w:val="0"/>
          <w:bCs/>
          <w:sz w:val="21"/>
          <w:szCs w:val="21"/>
          <w:highlight w:val="none"/>
          <w:lang w:val="en-US" w:eastAsia="zh-CN"/>
        </w:rPr>
        <w:t>农村公路绿化面积5933.4平方米，金祥乡农村公路</w:t>
      </w:r>
      <w:r>
        <w:rPr>
          <w:rFonts w:hint="eastAsia" w:ascii="宋体" w:hAnsi="宋体" w:eastAsia="宋体" w:cs="宋体"/>
          <w:b w:val="0"/>
          <w:bCs/>
          <w:sz w:val="21"/>
          <w:szCs w:val="21"/>
          <w:lang w:val="en-US" w:eastAsia="zh-CN"/>
        </w:rPr>
        <w:t>绿化面积6398.44平方米</w:t>
      </w:r>
    </w:p>
    <w:p>
      <w:pPr>
        <w:spacing w:line="360" w:lineRule="exact"/>
        <w:ind w:firstLine="411" w:firstLineChars="196"/>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2.3、</w:t>
      </w:r>
      <w:r>
        <w:rPr>
          <w:rFonts w:hint="default" w:ascii="宋体" w:hAnsi="宋体" w:eastAsia="宋体" w:cs="宋体"/>
          <w:b w:val="0"/>
          <w:bCs/>
          <w:sz w:val="21"/>
          <w:szCs w:val="21"/>
          <w:lang w:val="en-US" w:eastAsia="zh-CN"/>
        </w:rPr>
        <w:t>招标范围及标段划分：招标范围为施工图设计范围内的绿化工程，本次招标划分为</w:t>
      </w:r>
      <w:r>
        <w:rPr>
          <w:rFonts w:hint="eastAsia" w:ascii="宋体" w:hAnsi="宋体" w:eastAsia="宋体" w:cs="宋体"/>
          <w:b w:val="0"/>
          <w:bCs/>
          <w:sz w:val="21"/>
          <w:szCs w:val="21"/>
          <w:lang w:val="en-US" w:eastAsia="zh-CN"/>
        </w:rPr>
        <w:t>1</w:t>
      </w:r>
      <w:r>
        <w:rPr>
          <w:rFonts w:hint="default" w:ascii="宋体" w:hAnsi="宋体" w:eastAsia="宋体" w:cs="宋体"/>
          <w:b w:val="0"/>
          <w:bCs/>
          <w:sz w:val="21"/>
          <w:szCs w:val="21"/>
          <w:lang w:val="en-US" w:eastAsia="zh-CN"/>
        </w:rPr>
        <w:t>个标段，</w:t>
      </w:r>
      <w:r>
        <w:rPr>
          <w:rFonts w:hint="eastAsia" w:ascii="宋体" w:hAnsi="宋体" w:eastAsia="宋体" w:cs="宋体"/>
          <w:b w:val="0"/>
          <w:bCs/>
          <w:sz w:val="21"/>
          <w:szCs w:val="21"/>
          <w:lang w:val="en-US" w:eastAsia="zh-CN"/>
        </w:rPr>
        <w:t>即01标段</w:t>
      </w:r>
    </w:p>
    <w:p>
      <w:pPr>
        <w:tabs>
          <w:tab w:val="left" w:pos="540"/>
        </w:tabs>
        <w:spacing w:line="340" w:lineRule="exact"/>
        <w:ind w:firstLine="420" w:firstLineChars="200"/>
        <w:rPr>
          <w:rFonts w:hint="eastAsia" w:ascii="宋体" w:hAnsi="宋体" w:eastAsia="宋体" w:cs="宋体"/>
          <w:b w:val="0"/>
          <w:bCs/>
          <w:sz w:val="21"/>
          <w:szCs w:val="21"/>
          <w:u w:val="none"/>
        </w:rPr>
      </w:pPr>
      <w:r>
        <w:rPr>
          <w:rFonts w:hint="eastAsia" w:ascii="宋体" w:hAnsi="宋体" w:eastAsia="宋体" w:cs="宋体"/>
          <w:b w:val="0"/>
          <w:bCs/>
          <w:sz w:val="21"/>
          <w:szCs w:val="21"/>
          <w:u w:val="none"/>
        </w:rPr>
        <w:t>2</w:t>
      </w:r>
      <w:r>
        <w:rPr>
          <w:rFonts w:hint="eastAsia" w:ascii="宋体" w:hAnsi="宋体" w:eastAsia="宋体" w:cs="宋体"/>
          <w:b w:val="0"/>
          <w:bCs/>
          <w:sz w:val="21"/>
          <w:szCs w:val="21"/>
          <w:u w:val="none"/>
          <w:lang w:val="en-US" w:eastAsia="zh-CN"/>
        </w:rPr>
        <w:t>.4</w:t>
      </w:r>
      <w:r>
        <w:rPr>
          <w:rFonts w:hint="eastAsia" w:ascii="宋体" w:hAnsi="宋体" w:eastAsia="宋体" w:cs="宋体"/>
          <w:b w:val="0"/>
          <w:bCs/>
          <w:sz w:val="21"/>
          <w:szCs w:val="21"/>
          <w:u w:val="none"/>
        </w:rPr>
        <w:t>、计划工期：2020年0</w:t>
      </w:r>
      <w:r>
        <w:rPr>
          <w:rFonts w:hint="eastAsia" w:ascii="宋体" w:hAnsi="宋体" w:eastAsia="宋体" w:cs="宋体"/>
          <w:b w:val="0"/>
          <w:bCs/>
          <w:sz w:val="21"/>
          <w:szCs w:val="21"/>
          <w:u w:val="none"/>
          <w:lang w:val="en-US" w:eastAsia="zh-CN"/>
        </w:rPr>
        <w:t>8</w:t>
      </w:r>
      <w:r>
        <w:rPr>
          <w:rFonts w:hint="eastAsia" w:ascii="宋体" w:hAnsi="宋体" w:eastAsia="宋体" w:cs="宋体"/>
          <w:b w:val="0"/>
          <w:bCs/>
          <w:sz w:val="21"/>
          <w:szCs w:val="21"/>
          <w:u w:val="none"/>
        </w:rPr>
        <w:t>月</w:t>
      </w:r>
      <w:r>
        <w:rPr>
          <w:rFonts w:hint="eastAsia" w:ascii="宋体" w:hAnsi="宋体" w:eastAsia="宋体" w:cs="宋体"/>
          <w:b w:val="0"/>
          <w:bCs/>
          <w:sz w:val="21"/>
          <w:szCs w:val="21"/>
          <w:u w:val="none"/>
          <w:lang w:val="en-US" w:eastAsia="zh-CN"/>
        </w:rPr>
        <w:t>28</w:t>
      </w:r>
      <w:r>
        <w:rPr>
          <w:rFonts w:hint="eastAsia" w:ascii="宋体" w:hAnsi="宋体" w:eastAsia="宋体" w:cs="宋体"/>
          <w:b w:val="0"/>
          <w:bCs/>
          <w:sz w:val="21"/>
          <w:szCs w:val="21"/>
          <w:u w:val="none"/>
        </w:rPr>
        <w:t>日</w:t>
      </w:r>
      <w:r>
        <w:rPr>
          <w:rFonts w:hint="eastAsia" w:ascii="宋体" w:hAnsi="宋体" w:eastAsia="宋体" w:cs="宋体"/>
          <w:b w:val="0"/>
          <w:bCs/>
          <w:sz w:val="21"/>
          <w:szCs w:val="21"/>
          <w:u w:val="none"/>
          <w:lang w:eastAsia="zh-CN"/>
        </w:rPr>
        <w:t>至</w:t>
      </w:r>
      <w:r>
        <w:rPr>
          <w:rFonts w:hint="eastAsia" w:ascii="宋体" w:hAnsi="宋体" w:eastAsia="宋体" w:cs="宋体"/>
          <w:b w:val="0"/>
          <w:bCs/>
          <w:sz w:val="21"/>
          <w:szCs w:val="21"/>
          <w:u w:val="none"/>
        </w:rPr>
        <w:t>202</w:t>
      </w:r>
      <w:r>
        <w:rPr>
          <w:rFonts w:hint="eastAsia" w:ascii="宋体" w:hAnsi="宋体" w:eastAsia="宋体" w:cs="宋体"/>
          <w:b w:val="0"/>
          <w:bCs/>
          <w:sz w:val="21"/>
          <w:szCs w:val="21"/>
          <w:u w:val="none"/>
          <w:lang w:val="en-US" w:eastAsia="zh-CN"/>
        </w:rPr>
        <w:t>1</w:t>
      </w:r>
      <w:r>
        <w:rPr>
          <w:rFonts w:hint="eastAsia" w:ascii="宋体" w:hAnsi="宋体" w:eastAsia="宋体" w:cs="宋体"/>
          <w:b w:val="0"/>
          <w:bCs/>
          <w:sz w:val="21"/>
          <w:szCs w:val="21"/>
          <w:u w:val="none"/>
        </w:rPr>
        <w:t>年0</w:t>
      </w:r>
      <w:r>
        <w:rPr>
          <w:rFonts w:hint="eastAsia" w:ascii="宋体" w:hAnsi="宋体" w:eastAsia="宋体" w:cs="宋体"/>
          <w:b w:val="0"/>
          <w:bCs/>
          <w:sz w:val="21"/>
          <w:szCs w:val="21"/>
          <w:u w:val="none"/>
          <w:lang w:val="en-US" w:eastAsia="zh-CN"/>
        </w:rPr>
        <w:t>9</w:t>
      </w:r>
      <w:r>
        <w:rPr>
          <w:rFonts w:hint="eastAsia" w:ascii="宋体" w:hAnsi="宋体" w:eastAsia="宋体" w:cs="宋体"/>
          <w:b w:val="0"/>
          <w:bCs/>
          <w:sz w:val="21"/>
          <w:szCs w:val="21"/>
          <w:u w:val="none"/>
        </w:rPr>
        <w:t>月</w:t>
      </w:r>
      <w:r>
        <w:rPr>
          <w:rFonts w:hint="eastAsia" w:ascii="宋体" w:hAnsi="宋体" w:eastAsia="宋体" w:cs="宋体"/>
          <w:b w:val="0"/>
          <w:bCs/>
          <w:sz w:val="21"/>
          <w:szCs w:val="21"/>
          <w:u w:val="none"/>
          <w:lang w:val="en-US" w:eastAsia="zh-CN"/>
        </w:rPr>
        <w:t>30</w:t>
      </w:r>
      <w:r>
        <w:rPr>
          <w:rFonts w:hint="eastAsia" w:ascii="宋体" w:hAnsi="宋体" w:eastAsia="宋体" w:cs="宋体"/>
          <w:b w:val="0"/>
          <w:bCs/>
          <w:sz w:val="21"/>
          <w:szCs w:val="21"/>
          <w:u w:val="none"/>
        </w:rPr>
        <w:t>日</w:t>
      </w:r>
    </w:p>
    <w:p>
      <w:pPr>
        <w:autoSpaceDE w:val="0"/>
        <w:autoSpaceDN w:val="0"/>
        <w:adjustRightInd w:val="0"/>
        <w:jc w:val="left"/>
        <w:outlineLvl w:val="0"/>
        <w:rPr>
          <w:rFonts w:hint="eastAsia" w:ascii="宋体" w:hAnsi="宋体" w:eastAsia="宋体" w:cs="宋体"/>
          <w:b/>
          <w:bCs/>
          <w:kern w:val="0"/>
          <w:sz w:val="21"/>
          <w:szCs w:val="21"/>
          <w:lang w:val="zh-CN"/>
        </w:rPr>
      </w:pPr>
      <w:bookmarkStart w:id="6" w:name="_Toc6567705"/>
      <w:bookmarkStart w:id="7" w:name="_Toc474500997"/>
      <w:bookmarkStart w:id="8" w:name="_Toc13153370"/>
      <w:r>
        <w:rPr>
          <w:rFonts w:hint="eastAsia" w:ascii="宋体" w:hAnsi="宋体" w:eastAsia="宋体" w:cs="宋体"/>
          <w:b/>
          <w:bCs/>
          <w:kern w:val="0"/>
          <w:sz w:val="21"/>
          <w:szCs w:val="21"/>
          <w:lang w:val="zh-CN"/>
        </w:rPr>
        <w:t>3.投标人资格要求</w:t>
      </w:r>
      <w:bookmarkEnd w:id="6"/>
      <w:bookmarkEnd w:id="7"/>
      <w:bookmarkEnd w:id="8"/>
    </w:p>
    <w:p>
      <w:pPr>
        <w:pStyle w:val="7"/>
        <w:spacing w:line="340" w:lineRule="exact"/>
        <w:ind w:left="27" w:leftChars="13" w:firstLine="432" w:firstLineChars="206"/>
        <w:rPr>
          <w:rFonts w:hint="eastAsia" w:ascii="宋体" w:hAnsi="宋体" w:eastAsia="宋体" w:cs="宋体"/>
          <w:sz w:val="21"/>
          <w:szCs w:val="21"/>
          <w:lang w:val="en-US" w:eastAsia="zh-CN"/>
        </w:rPr>
      </w:pPr>
      <w:r>
        <w:rPr>
          <w:rFonts w:hint="eastAsia" w:ascii="宋体" w:hAnsi="宋体" w:eastAsia="宋体" w:cs="宋体"/>
          <w:b w:val="0"/>
          <w:bCs/>
          <w:sz w:val="21"/>
          <w:szCs w:val="21"/>
          <w:lang w:val="zh-CN"/>
        </w:rPr>
        <w:t>3.1</w:t>
      </w:r>
      <w:r>
        <w:rPr>
          <w:rFonts w:hint="eastAsia" w:ascii="宋体" w:hAnsi="宋体" w:eastAsia="宋体" w:cs="宋体"/>
          <w:sz w:val="21"/>
          <w:szCs w:val="21"/>
          <w:lang w:eastAsia="zh-CN"/>
        </w:rPr>
        <w:t>投标人的营业执照内须具有园林绿化施工等相关经营范围的法人或其他组织，近三年(2017年1月1日以后，以交工验收证书或工程接收证书时间为准）</w:t>
      </w:r>
      <w:r>
        <w:rPr>
          <w:rFonts w:hint="eastAsia" w:ascii="宋体" w:hAnsi="宋体" w:eastAsia="宋体" w:cs="宋体"/>
          <w:sz w:val="21"/>
          <w:szCs w:val="21"/>
          <w:lang w:val="en-US" w:eastAsia="zh-CN"/>
        </w:rPr>
        <w:t>完成过至少一项类似业绩，并在人员、设备、资金等方面具有相应的施工能力。</w:t>
      </w:r>
    </w:p>
    <w:p>
      <w:pPr>
        <w:pStyle w:val="7"/>
        <w:spacing w:line="340" w:lineRule="exact"/>
        <w:ind w:left="27" w:leftChars="13" w:firstLine="432" w:firstLineChars="206"/>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3.2投标人拟派出的项目经理须是园林相关专业中级及以上职称资格，且无在建工程。项目经理及拟投入全部管理人员为本单位人员，并须提供近六个月的社会保险证明资料。</w:t>
      </w:r>
    </w:p>
    <w:p>
      <w:pPr>
        <w:autoSpaceDE w:val="0"/>
        <w:autoSpaceDN w:val="0"/>
        <w:adjustRightInd w:val="0"/>
        <w:ind w:firstLine="420" w:firstLineChars="200"/>
        <w:jc w:val="left"/>
        <w:rPr>
          <w:rFonts w:hint="eastAsia" w:ascii="宋体" w:hAnsi="宋体" w:eastAsia="宋体" w:cs="宋体"/>
          <w:b/>
          <w:sz w:val="21"/>
          <w:szCs w:val="21"/>
        </w:rPr>
      </w:pPr>
      <w:r>
        <w:rPr>
          <w:rFonts w:hint="eastAsia" w:ascii="宋体" w:hAnsi="宋体" w:eastAsia="宋体" w:cs="宋体"/>
          <w:kern w:val="0"/>
          <w:sz w:val="21"/>
          <w:szCs w:val="21"/>
          <w:lang w:val="en-US" w:eastAsia="zh-CN"/>
        </w:rPr>
        <w:t>3.3</w:t>
      </w:r>
      <w:r>
        <w:rPr>
          <w:rFonts w:hint="eastAsia" w:ascii="宋体" w:hAnsi="宋体" w:eastAsia="宋体" w:cs="宋体"/>
          <w:kern w:val="0"/>
          <w:sz w:val="21"/>
          <w:szCs w:val="21"/>
          <w:lang w:val="zh-CN"/>
        </w:rPr>
        <w:t xml:space="preserve"> 本次招标不接受联合体投标。</w:t>
      </w:r>
      <w:r>
        <w:rPr>
          <w:rFonts w:hint="eastAsia" w:ascii="宋体" w:hAnsi="宋体" w:eastAsia="宋体" w:cs="宋体"/>
          <w:b/>
          <w:sz w:val="21"/>
          <w:szCs w:val="21"/>
        </w:rPr>
        <w:t xml:space="preserve"> </w:t>
      </w:r>
    </w:p>
    <w:p>
      <w:pPr>
        <w:pStyle w:val="7"/>
        <w:spacing w:line="276" w:lineRule="auto"/>
        <w:ind w:firstLine="432" w:firstLineChars="206"/>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3.4与招标人存在利害关系可能影响招标公正性的单位，不得参加投标。单位负责人为同一人或者存在控股、管理关系的不同单位，不得参加同一标段投标，</w:t>
      </w:r>
      <w:r>
        <w:rPr>
          <w:rFonts w:hint="eastAsia" w:ascii="宋体" w:hAnsi="宋体" w:eastAsia="宋体" w:cs="宋体"/>
          <w:b w:val="0"/>
          <w:bCs/>
          <w:kern w:val="0"/>
          <w:sz w:val="21"/>
          <w:szCs w:val="21"/>
          <w:lang w:val="zh-CN"/>
        </w:rPr>
        <w:t>否则，相关投标均无效</w:t>
      </w:r>
      <w:r>
        <w:rPr>
          <w:rFonts w:hint="eastAsia" w:ascii="宋体" w:hAnsi="宋体" w:eastAsia="宋体" w:cs="宋体"/>
          <w:kern w:val="0"/>
          <w:sz w:val="21"/>
          <w:szCs w:val="21"/>
          <w:lang w:val="zh-CN"/>
        </w:rPr>
        <w:t>。</w:t>
      </w:r>
    </w:p>
    <w:p>
      <w:pPr>
        <w:autoSpaceDE w:val="0"/>
        <w:autoSpaceDN w:val="0"/>
        <w:adjustRightInd w:val="0"/>
        <w:ind w:firstLine="420" w:firstLineChars="200"/>
        <w:jc w:val="left"/>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3.5</w:t>
      </w:r>
      <w:r>
        <w:rPr>
          <w:rFonts w:hint="eastAsia" w:ascii="宋体" w:hAnsi="宋体" w:eastAsia="宋体" w:cs="宋体"/>
          <w:kern w:val="0"/>
          <w:sz w:val="21"/>
          <w:szCs w:val="21"/>
          <w:highlight w:val="none"/>
          <w:lang w:val="zh-CN"/>
        </w:rPr>
        <w:t>投标人应对投标人单位和个人（指法定代表人、拟投入的项目经理）以书面形式承诺无行贿犯罪记录，并将承诺书附在投标文件中，如有行贿犯罪行为或没在投标文件中附无犯罪记录承诺书的投标人均不能通过本项目的资格审查。</w:t>
      </w:r>
    </w:p>
    <w:p>
      <w:pPr>
        <w:autoSpaceDE w:val="0"/>
        <w:autoSpaceDN w:val="0"/>
        <w:adjustRightInd w:val="0"/>
        <w:ind w:firstLine="420" w:firstLineChars="200"/>
        <w:jc w:val="left"/>
        <w:rPr>
          <w:rFonts w:hint="eastAsia" w:ascii="宋体" w:hAnsi="宋体" w:eastAsia="宋体" w:cs="宋体"/>
          <w:b w:val="0"/>
          <w:bCs/>
          <w:kern w:val="0"/>
          <w:sz w:val="21"/>
          <w:szCs w:val="21"/>
          <w:lang w:val="zh-CN"/>
        </w:rPr>
      </w:pPr>
      <w:r>
        <w:rPr>
          <w:rFonts w:hint="eastAsia" w:ascii="宋体" w:hAnsi="宋体" w:eastAsia="宋体" w:cs="宋体"/>
          <w:kern w:val="0"/>
          <w:sz w:val="21"/>
          <w:szCs w:val="21"/>
          <w:lang w:val="zh-CN"/>
        </w:rPr>
        <w:t>3.6</w:t>
      </w:r>
      <w:r>
        <w:rPr>
          <w:rFonts w:hint="eastAsia" w:ascii="宋体" w:hAnsi="宋体" w:eastAsia="宋体" w:cs="宋体"/>
          <w:kern w:val="0"/>
          <w:sz w:val="21"/>
          <w:szCs w:val="21"/>
        </w:rPr>
        <w:t>在“信用中国”网站(http://www.creditchina.gov.cn/)中被列入失信被执行人名单的投标人，不得参加投标。</w:t>
      </w:r>
    </w:p>
    <w:p>
      <w:pPr>
        <w:autoSpaceDE w:val="0"/>
        <w:autoSpaceDN w:val="0"/>
        <w:adjustRightInd w:val="0"/>
        <w:spacing w:line="276" w:lineRule="auto"/>
        <w:ind w:firstLine="420" w:firstLineChars="200"/>
        <w:jc w:val="left"/>
        <w:rPr>
          <w:rFonts w:hint="eastAsia" w:ascii="宋体" w:hAnsi="宋体" w:eastAsia="宋体" w:cs="宋体"/>
          <w:b w:val="0"/>
          <w:bCs/>
          <w:sz w:val="21"/>
          <w:szCs w:val="21"/>
        </w:rPr>
      </w:pPr>
      <w:bookmarkStart w:id="9" w:name="_Toc474500999"/>
      <w:r>
        <w:rPr>
          <w:rFonts w:hint="eastAsia" w:ascii="宋体" w:hAnsi="宋体" w:eastAsia="宋体" w:cs="宋体"/>
          <w:b w:val="0"/>
          <w:bCs/>
          <w:sz w:val="21"/>
          <w:szCs w:val="21"/>
        </w:rPr>
        <w:t>3.</w:t>
      </w:r>
      <w:r>
        <w:rPr>
          <w:rFonts w:hint="eastAsia" w:ascii="宋体" w:hAnsi="宋体" w:eastAsia="宋体" w:cs="宋体"/>
          <w:b w:val="0"/>
          <w:bCs/>
          <w:sz w:val="21"/>
          <w:szCs w:val="21"/>
          <w:lang w:val="en-US" w:eastAsia="zh-CN"/>
        </w:rPr>
        <w:t>7</w:t>
      </w:r>
      <w:r>
        <w:rPr>
          <w:rFonts w:hint="eastAsia" w:ascii="宋体" w:hAnsi="宋体" w:eastAsia="宋体" w:cs="宋体"/>
          <w:b w:val="0"/>
          <w:bCs/>
          <w:sz w:val="21"/>
          <w:szCs w:val="21"/>
        </w:rPr>
        <w:t>本次施工招标采用资格后审方式的双信封技术评分最低标价法。</w:t>
      </w:r>
    </w:p>
    <w:bookmarkEnd w:id="9"/>
    <w:p>
      <w:pPr>
        <w:keepNext/>
        <w:keepLines/>
        <w:spacing w:line="360" w:lineRule="auto"/>
        <w:outlineLvl w:val="2"/>
        <w:rPr>
          <w:b/>
          <w:bCs/>
          <w:sz w:val="28"/>
          <w:szCs w:val="28"/>
        </w:rPr>
      </w:pPr>
    </w:p>
    <w:p>
      <w:pPr>
        <w:keepNext/>
        <w:keepLines/>
        <w:spacing w:line="360" w:lineRule="auto"/>
        <w:outlineLvl w:val="2"/>
        <w:rPr>
          <w:b/>
          <w:bCs/>
          <w:sz w:val="28"/>
          <w:szCs w:val="28"/>
        </w:rPr>
      </w:pPr>
    </w:p>
    <w:p>
      <w:pPr>
        <w:keepNext/>
        <w:keepLines/>
        <w:spacing w:line="360" w:lineRule="auto"/>
        <w:outlineLvl w:val="2"/>
        <w:rPr>
          <w:b/>
          <w:bCs/>
          <w:sz w:val="28"/>
          <w:szCs w:val="28"/>
        </w:rPr>
      </w:pPr>
    </w:p>
    <w:p>
      <w:pPr>
        <w:keepNext/>
        <w:keepLines/>
        <w:spacing w:line="360" w:lineRule="auto"/>
        <w:outlineLvl w:val="2"/>
        <w:rPr>
          <w:b/>
          <w:bCs/>
          <w:sz w:val="28"/>
          <w:szCs w:val="28"/>
        </w:rPr>
      </w:pPr>
    </w:p>
    <w:p>
      <w:pPr>
        <w:bidi w:val="0"/>
      </w:pPr>
    </w:p>
    <w:p>
      <w:pPr>
        <w:bidi w:val="0"/>
      </w:pPr>
    </w:p>
    <w:p>
      <w:pPr>
        <w:bidi w:val="0"/>
      </w:pPr>
    </w:p>
    <w:p>
      <w:pPr>
        <w:bidi w:val="0"/>
      </w:pPr>
    </w:p>
    <w:p>
      <w:pPr>
        <w:bidi w:val="0"/>
      </w:pPr>
    </w:p>
    <w:p>
      <w:pPr>
        <w:bidi w:val="0"/>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4. 最低资格条件</w:t>
      </w:r>
      <w:bookmarkStart w:id="10" w:name="_Toc452217049"/>
    </w:p>
    <w:bookmarkEnd w:id="10"/>
    <w:p>
      <w:pPr>
        <w:pStyle w:val="3"/>
        <w:spacing w:before="0" w:after="0" w:line="240" w:lineRule="auto"/>
        <w:jc w:val="center"/>
      </w:pPr>
      <w:r>
        <w:rPr>
          <w:rFonts w:hint="eastAsia"/>
        </w:rPr>
        <w:t>附录</w:t>
      </w:r>
      <w:r>
        <w:t xml:space="preserve">1 </w:t>
      </w:r>
      <w:r>
        <w:rPr>
          <w:rFonts w:hint="eastAsia"/>
        </w:rPr>
        <w:t>资格审查条件（资质最低要求）</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8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101" w:type="dxa"/>
            <w:noWrap w:val="0"/>
            <w:vAlign w:val="center"/>
          </w:tcPr>
          <w:p>
            <w:pPr>
              <w:jc w:val="center"/>
              <w:rPr>
                <w:rFonts w:ascii="宋体"/>
                <w:szCs w:val="21"/>
              </w:rPr>
            </w:pPr>
            <w:r>
              <w:rPr>
                <w:rFonts w:hint="eastAsia" w:ascii="宋体" w:hAnsi="宋体"/>
                <w:szCs w:val="21"/>
              </w:rPr>
              <w:t>标段</w:t>
            </w:r>
          </w:p>
        </w:tc>
        <w:tc>
          <w:tcPr>
            <w:tcW w:w="8469" w:type="dxa"/>
            <w:noWrap w:val="0"/>
            <w:vAlign w:val="center"/>
          </w:tcPr>
          <w:p>
            <w:pPr>
              <w:ind w:firstLine="420" w:firstLineChars="200"/>
              <w:jc w:val="center"/>
              <w:rPr>
                <w:rFonts w:ascii="宋体"/>
                <w:b/>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101" w:type="dxa"/>
            <w:noWrap w:val="0"/>
            <w:vAlign w:val="center"/>
          </w:tcPr>
          <w:p>
            <w:pPr>
              <w:tabs>
                <w:tab w:val="left" w:pos="540"/>
              </w:tabs>
              <w:spacing w:line="400" w:lineRule="exact"/>
              <w:jc w:val="center"/>
              <w:rPr>
                <w:rFonts w:hint="eastAsia" w:ascii="宋体" w:eastAsia="宋体"/>
                <w:b/>
                <w:lang w:eastAsia="zh-CN"/>
              </w:rPr>
            </w:pPr>
            <w:r>
              <w:rPr>
                <w:rFonts w:hint="eastAsia" w:ascii="宋体" w:hAnsi="宋体"/>
                <w:b/>
                <w:lang w:eastAsia="zh-CN"/>
              </w:rPr>
              <w:t>01</w:t>
            </w:r>
          </w:p>
        </w:tc>
        <w:tc>
          <w:tcPr>
            <w:tcW w:w="8469" w:type="dxa"/>
            <w:noWrap w:val="0"/>
            <w:vAlign w:val="center"/>
          </w:tcPr>
          <w:p>
            <w:pPr>
              <w:tabs>
                <w:tab w:val="left" w:pos="540"/>
              </w:tabs>
              <w:spacing w:line="400" w:lineRule="exact"/>
              <w:rPr>
                <w:szCs w:val="21"/>
              </w:rPr>
            </w:pPr>
            <w:r>
              <w:rPr>
                <w:rFonts w:hint="eastAsia" w:ascii="宋体" w:hAnsi="宋体"/>
                <w:szCs w:val="21"/>
              </w:rPr>
              <w:t>要求潜在</w:t>
            </w:r>
            <w:r>
              <w:rPr>
                <w:rFonts w:hint="eastAsia" w:ascii="宋体" w:hAnsi="宋体"/>
                <w:szCs w:val="21"/>
                <w:lang w:eastAsia="zh-CN"/>
              </w:rPr>
              <w:t>投标人的营业执照内须具有园林绿化施工等相关经营范围的法人或其他组织。</w:t>
            </w:r>
          </w:p>
        </w:tc>
      </w:tr>
    </w:tbl>
    <w:p>
      <w:pPr>
        <w:pStyle w:val="3"/>
        <w:spacing w:before="0" w:after="0" w:line="240" w:lineRule="auto"/>
        <w:jc w:val="center"/>
        <w:rPr>
          <w:rFonts w:hint="eastAsia"/>
        </w:rPr>
      </w:pPr>
      <w:bookmarkStart w:id="11" w:name="_Toc514418863"/>
      <w:bookmarkStart w:id="12" w:name="_Toc5803102"/>
      <w:bookmarkStart w:id="13" w:name="_Toc287967393"/>
      <w:bookmarkStart w:id="14" w:name="_Toc13153378"/>
    </w:p>
    <w:p>
      <w:pPr>
        <w:pStyle w:val="3"/>
        <w:spacing w:before="0" w:after="0" w:line="240" w:lineRule="auto"/>
        <w:jc w:val="center"/>
      </w:pPr>
      <w:r>
        <w:rPr>
          <w:rFonts w:hint="eastAsia"/>
        </w:rPr>
        <w:t>附录</w:t>
      </w:r>
      <w:r>
        <w:t xml:space="preserve">2 </w:t>
      </w:r>
      <w:r>
        <w:rPr>
          <w:rFonts w:hint="eastAsia"/>
        </w:rPr>
        <w:t>资格审查条件（财务最低要求）</w:t>
      </w:r>
      <w:bookmarkEnd w:id="11"/>
      <w:bookmarkEnd w:id="12"/>
      <w:bookmarkEnd w:id="13"/>
      <w:bookmarkEnd w:id="14"/>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606" w:type="dxa"/>
            <w:noWrap w:val="0"/>
            <w:vAlign w:val="center"/>
          </w:tcPr>
          <w:p>
            <w:pPr>
              <w:spacing w:line="360" w:lineRule="auto"/>
              <w:jc w:val="center"/>
              <w:rPr>
                <w:szCs w:val="21"/>
              </w:rPr>
            </w:pPr>
            <w:r>
              <w:rPr>
                <w:rFonts w:hint="eastAsia"/>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9606" w:type="dxa"/>
            <w:noWrap w:val="0"/>
            <w:vAlign w:val="top"/>
          </w:tcPr>
          <w:p>
            <w:pPr>
              <w:adjustRightInd w:val="0"/>
              <w:snapToGrid w:val="0"/>
              <w:spacing w:line="360" w:lineRule="auto"/>
              <w:ind w:firstLine="420" w:firstLineChars="200"/>
              <w:rPr>
                <w:szCs w:val="21"/>
              </w:rPr>
            </w:pPr>
          </w:p>
          <w:p>
            <w:pPr>
              <w:adjustRightInd w:val="0"/>
              <w:snapToGrid w:val="0"/>
              <w:spacing w:line="360" w:lineRule="auto"/>
              <w:ind w:firstLine="420" w:firstLineChars="200"/>
              <w:rPr>
                <w:rFonts w:ascii="宋体"/>
                <w:bCs/>
                <w:szCs w:val="21"/>
              </w:rPr>
            </w:pPr>
            <w:r>
              <w:rPr>
                <w:rFonts w:hint="eastAsia"/>
                <w:szCs w:val="21"/>
              </w:rPr>
              <w:t>资金信用</w:t>
            </w:r>
            <w:r>
              <w:rPr>
                <w:rStyle w:val="11"/>
                <w:szCs w:val="21"/>
              </w:rPr>
              <w:footnoteReference w:id="0"/>
            </w:r>
            <w:r>
              <w:rPr>
                <w:rFonts w:hint="eastAsia"/>
                <w:szCs w:val="21"/>
              </w:rPr>
              <w:t>：</w:t>
            </w:r>
            <w:r>
              <w:rPr>
                <w:rFonts w:hint="eastAsia" w:ascii="宋体" w:hAnsi="宋体"/>
                <w:bCs/>
                <w:szCs w:val="21"/>
              </w:rPr>
              <w:t>投标人的经审计的</w:t>
            </w:r>
            <w:r>
              <w:rPr>
                <w:rFonts w:hint="eastAsia" w:ascii="黑体" w:hAnsi="宋体" w:eastAsia="黑体"/>
                <w:b/>
                <w:bCs/>
                <w:szCs w:val="21"/>
                <w:lang w:val="en-US" w:eastAsia="zh-CN"/>
              </w:rPr>
              <w:t>2019</w:t>
            </w:r>
            <w:r>
              <w:rPr>
                <w:rFonts w:hint="eastAsia" w:ascii="黑体" w:hAnsi="宋体" w:eastAsia="黑体"/>
                <w:b/>
                <w:bCs/>
                <w:szCs w:val="21"/>
              </w:rPr>
              <w:t>年</w:t>
            </w:r>
            <w:r>
              <w:rPr>
                <w:rFonts w:hint="eastAsia" w:ascii="宋体" w:hAnsi="宋体"/>
                <w:bCs/>
                <w:szCs w:val="21"/>
              </w:rPr>
              <w:t>财务会计报告中流动资金（流动资金</w:t>
            </w:r>
            <w:r>
              <w:rPr>
                <w:rFonts w:ascii="宋体" w:hAnsi="宋体"/>
                <w:bCs/>
                <w:szCs w:val="21"/>
              </w:rPr>
              <w:t>=</w:t>
            </w:r>
            <w:r>
              <w:rPr>
                <w:rFonts w:hint="eastAsia" w:ascii="宋体" w:hAnsi="宋体"/>
                <w:bCs/>
                <w:szCs w:val="21"/>
              </w:rPr>
              <w:t>流动资产－流动负债）与为本项目开具的银行信贷证明之和必须达到如下标准：</w:t>
            </w:r>
          </w:p>
          <w:p>
            <w:pPr>
              <w:autoSpaceDE w:val="0"/>
              <w:autoSpaceDN w:val="0"/>
              <w:adjustRightInd w:val="0"/>
              <w:spacing w:line="360" w:lineRule="auto"/>
              <w:ind w:firstLine="413" w:firstLineChars="196"/>
              <w:rPr>
                <w:rFonts w:ascii="宋体"/>
                <w:bCs/>
                <w:szCs w:val="21"/>
              </w:rPr>
            </w:pPr>
            <w:r>
              <w:rPr>
                <w:rFonts w:hint="eastAsia" w:ascii="黑体" w:hAnsi="宋体" w:eastAsia="黑体"/>
                <w:b/>
                <w:bCs/>
                <w:szCs w:val="21"/>
                <w:u w:val="single"/>
              </w:rPr>
              <w:t>01标段：</w:t>
            </w:r>
            <w:r>
              <w:rPr>
                <w:rFonts w:hint="eastAsia" w:ascii="黑体" w:hAnsi="宋体" w:eastAsia="黑体"/>
                <w:b/>
                <w:bCs/>
                <w:szCs w:val="21"/>
                <w:u w:val="single"/>
                <w:lang w:val="en-US" w:eastAsia="zh-CN"/>
              </w:rPr>
              <w:t>50</w:t>
            </w:r>
            <w:r>
              <w:rPr>
                <w:rFonts w:hint="eastAsia" w:ascii="黑体" w:hAnsi="宋体" w:eastAsia="黑体"/>
                <w:b/>
                <w:bCs/>
                <w:szCs w:val="21"/>
                <w:u w:val="single"/>
              </w:rPr>
              <w:t>万元</w:t>
            </w:r>
            <w:r>
              <w:rPr>
                <w:rFonts w:hint="eastAsia" w:ascii="宋体" w:hAnsi="宋体"/>
                <w:bCs/>
                <w:szCs w:val="21"/>
              </w:rPr>
              <w:t>。</w:t>
            </w:r>
          </w:p>
          <w:p>
            <w:pPr>
              <w:adjustRightInd w:val="0"/>
              <w:snapToGrid w:val="0"/>
              <w:spacing w:line="360" w:lineRule="auto"/>
              <w:ind w:firstLine="420" w:firstLineChars="200"/>
              <w:rPr>
                <w:b/>
                <w:sz w:val="28"/>
                <w:szCs w:val="28"/>
              </w:rPr>
            </w:pPr>
            <w:r>
              <w:rPr>
                <w:rFonts w:hint="eastAsia" w:ascii="宋体" w:hAnsi="宋体"/>
                <w:bCs/>
                <w:szCs w:val="21"/>
              </w:rPr>
              <w:t>银行信贷证明必须在地（市）级或以上级别的信誉良好的国有或股份制商业银行支行开具。</w:t>
            </w:r>
          </w:p>
        </w:tc>
      </w:tr>
    </w:tbl>
    <w:p>
      <w:pPr>
        <w:autoSpaceDE w:val="0"/>
        <w:autoSpaceDN w:val="0"/>
        <w:adjustRightInd w:val="0"/>
        <w:rPr>
          <w:b/>
          <w:sz w:val="18"/>
          <w:szCs w:val="18"/>
        </w:rPr>
      </w:pPr>
    </w:p>
    <w:p>
      <w:pPr>
        <w:rPr>
          <w:rFonts w:hint="eastAsia"/>
        </w:rPr>
      </w:pPr>
      <w:bookmarkStart w:id="15" w:name="_Toc287967394"/>
      <w:bookmarkStart w:id="16" w:name="_Toc13153379"/>
      <w:bookmarkStart w:id="17" w:name="_Toc5803103"/>
      <w:bookmarkStart w:id="18" w:name="_Toc514418864"/>
    </w:p>
    <w:p>
      <w:pPr>
        <w:rPr>
          <w:rFonts w:hint="eastAsia"/>
        </w:rPr>
      </w:pPr>
    </w:p>
    <w:p>
      <w:pPr>
        <w:pStyle w:val="3"/>
        <w:spacing w:before="0" w:after="0" w:line="240" w:lineRule="auto"/>
        <w:jc w:val="center"/>
      </w:pPr>
      <w:r>
        <w:rPr>
          <w:rFonts w:hint="eastAsia"/>
        </w:rPr>
        <w:t>附录</w:t>
      </w:r>
      <w:r>
        <w:t xml:space="preserve">3 </w:t>
      </w:r>
      <w:r>
        <w:rPr>
          <w:rFonts w:hint="eastAsia"/>
        </w:rPr>
        <w:t>资格审查条件（业绩最低要求）</w:t>
      </w:r>
      <w:bookmarkEnd w:id="15"/>
      <w:bookmarkEnd w:id="16"/>
      <w:bookmarkEnd w:id="17"/>
      <w:bookmarkEnd w:id="18"/>
    </w:p>
    <w:p>
      <w:pPr>
        <w:pStyle w:val="16"/>
        <w:jc w:val="center"/>
        <w:outlineLvl w:val="9"/>
        <w:rPr>
          <w:rFonts w:ascii="黑体" w:hAnsi="黑体" w:eastAsia="黑体"/>
          <w:b w:val="0"/>
          <w:szCs w:val="28"/>
        </w:rPr>
      </w:pPr>
    </w:p>
    <w:tbl>
      <w:tblPr>
        <w:tblStyle w:val="8"/>
        <w:tblW w:w="94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55"/>
        <w:gridCol w:w="8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1255" w:type="dxa"/>
            <w:noWrap/>
            <w:vAlign w:val="center"/>
          </w:tcPr>
          <w:p>
            <w:pPr>
              <w:spacing w:line="300" w:lineRule="exact"/>
              <w:jc w:val="center"/>
              <w:rPr>
                <w:rFonts w:ascii="宋体"/>
                <w:kern w:val="0"/>
                <w:szCs w:val="21"/>
              </w:rPr>
            </w:pPr>
            <w:bookmarkStart w:id="19" w:name="_Toc287967395"/>
            <w:r>
              <w:rPr>
                <w:rFonts w:hint="eastAsia" w:ascii="宋体" w:hAnsi="宋体"/>
                <w:kern w:val="0"/>
                <w:szCs w:val="21"/>
              </w:rPr>
              <w:t>标段</w:t>
            </w:r>
          </w:p>
        </w:tc>
        <w:tc>
          <w:tcPr>
            <w:tcW w:w="8237" w:type="dxa"/>
            <w:noWrap w:val="0"/>
            <w:vAlign w:val="center"/>
          </w:tcPr>
          <w:p>
            <w:pPr>
              <w:spacing w:line="300" w:lineRule="exact"/>
              <w:jc w:val="center"/>
              <w:rPr>
                <w:rFonts w:ascii="宋体"/>
                <w:szCs w:val="21"/>
              </w:rPr>
            </w:pPr>
            <w:r>
              <w:rPr>
                <w:rFonts w:hint="eastAsia" w:ascii="宋体" w:hAnsi="宋体"/>
                <w:szCs w:val="21"/>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2" w:hRule="atLeast"/>
          <w:jc w:val="center"/>
        </w:trPr>
        <w:tc>
          <w:tcPr>
            <w:tcW w:w="1255" w:type="dxa"/>
            <w:noWrap/>
            <w:vAlign w:val="center"/>
          </w:tcPr>
          <w:p>
            <w:pPr>
              <w:spacing w:line="220" w:lineRule="exact"/>
              <w:jc w:val="center"/>
              <w:rPr>
                <w:rFonts w:ascii="宋体"/>
                <w:b/>
                <w:kern w:val="0"/>
                <w:szCs w:val="21"/>
              </w:rPr>
            </w:pPr>
            <w:r>
              <w:rPr>
                <w:rFonts w:hint="eastAsia" w:ascii="宋体" w:hAnsi="宋体"/>
                <w:b/>
                <w:kern w:val="0"/>
                <w:szCs w:val="21"/>
              </w:rPr>
              <w:t xml:space="preserve">01 </w:t>
            </w:r>
          </w:p>
        </w:tc>
        <w:tc>
          <w:tcPr>
            <w:tcW w:w="8237" w:type="dxa"/>
            <w:noWrap w:val="0"/>
            <w:vAlign w:val="center"/>
          </w:tcPr>
          <w:p>
            <w:pPr>
              <w:spacing w:line="276" w:lineRule="auto"/>
              <w:rPr>
                <w:rFonts w:ascii="宋体" w:hAnsi="宋体"/>
                <w:szCs w:val="21"/>
              </w:rPr>
            </w:pPr>
            <w:r>
              <w:rPr>
                <w:rFonts w:hint="eastAsia" w:ascii="宋体" w:hAnsi="宋体" w:eastAsia="宋体" w:cs="宋体"/>
                <w:sz w:val="21"/>
                <w:szCs w:val="21"/>
                <w:highlight w:val="none"/>
                <w:lang w:eastAsia="zh-CN"/>
              </w:rPr>
              <w:t>近三年(2017年1月1日以后，以交工验收证书或工程接收证书时间为准）</w:t>
            </w:r>
            <w:r>
              <w:rPr>
                <w:rFonts w:hint="eastAsia" w:ascii="宋体" w:hAnsi="宋体" w:eastAsia="宋体" w:cs="宋体"/>
                <w:sz w:val="21"/>
                <w:szCs w:val="21"/>
                <w:highlight w:val="none"/>
                <w:lang w:val="en-US" w:eastAsia="zh-CN"/>
              </w:rPr>
              <w:t>完成过至少一项类似业绩</w:t>
            </w:r>
            <w:r>
              <w:rPr>
                <w:rFonts w:hint="eastAsia" w:ascii="宋体" w:hAnsi="宋体" w:cs="宋体"/>
                <w:color w:val="000000"/>
                <w:szCs w:val="21"/>
                <w:highlight w:val="none"/>
              </w:rPr>
              <w:t>。</w:t>
            </w:r>
          </w:p>
        </w:tc>
      </w:tr>
    </w:tbl>
    <w:p/>
    <w:p>
      <w:pPr>
        <w:pStyle w:val="3"/>
        <w:spacing w:before="0" w:after="0" w:line="240" w:lineRule="auto"/>
        <w:jc w:val="both"/>
        <w:rPr>
          <w:rFonts w:hint="eastAsia"/>
        </w:rPr>
      </w:pPr>
      <w:bookmarkStart w:id="20" w:name="_Toc13153380"/>
      <w:bookmarkStart w:id="21" w:name="_Toc5803104"/>
      <w:bookmarkStart w:id="22" w:name="_Toc514418865"/>
    </w:p>
    <w:p>
      <w:pPr>
        <w:rPr>
          <w:rFonts w:hint="eastAsia"/>
        </w:rPr>
      </w:pPr>
      <w:bookmarkStart w:id="36" w:name="_GoBack"/>
      <w:bookmarkEnd w:id="36"/>
    </w:p>
    <w:p>
      <w:pPr>
        <w:rPr>
          <w:rFonts w:hint="eastAsia"/>
        </w:rPr>
      </w:pPr>
    </w:p>
    <w:p>
      <w:pPr>
        <w:rPr>
          <w:rFonts w:hint="eastAsia"/>
        </w:rPr>
      </w:pPr>
    </w:p>
    <w:p>
      <w:pPr>
        <w:rPr>
          <w:rFonts w:hint="eastAsia"/>
        </w:rPr>
      </w:pPr>
    </w:p>
    <w:p>
      <w:pPr>
        <w:rPr>
          <w:rFonts w:hint="eastAsia"/>
        </w:rPr>
      </w:pPr>
    </w:p>
    <w:p>
      <w:pPr>
        <w:bidi w:val="0"/>
        <w:rPr>
          <w:rFonts w:hint="eastAsia"/>
        </w:rPr>
      </w:pPr>
    </w:p>
    <w:p>
      <w:pPr>
        <w:bidi w:val="0"/>
        <w:rPr>
          <w:rFonts w:hint="eastAsia"/>
        </w:rPr>
      </w:pPr>
    </w:p>
    <w:p>
      <w:pPr>
        <w:bidi w:val="0"/>
        <w:rPr>
          <w:rFonts w:hint="eastAsia"/>
        </w:rPr>
      </w:pPr>
    </w:p>
    <w:p>
      <w:pPr>
        <w:bidi w:val="0"/>
        <w:rPr>
          <w:b/>
          <w:bCs/>
          <w:sz w:val="32"/>
          <w:szCs w:val="32"/>
        </w:rPr>
      </w:pPr>
      <w:r>
        <w:rPr>
          <w:rFonts w:hint="eastAsia"/>
          <w:b/>
          <w:bCs/>
          <w:sz w:val="32"/>
          <w:szCs w:val="32"/>
        </w:rPr>
        <w:t>附录</w:t>
      </w:r>
      <w:r>
        <w:rPr>
          <w:b/>
          <w:bCs/>
          <w:sz w:val="32"/>
          <w:szCs w:val="32"/>
        </w:rPr>
        <w:t xml:space="preserve">4 </w:t>
      </w:r>
      <w:r>
        <w:rPr>
          <w:rFonts w:hint="eastAsia"/>
          <w:b/>
          <w:bCs/>
          <w:sz w:val="32"/>
          <w:szCs w:val="32"/>
        </w:rPr>
        <w:t>资格审查条件（信誉最低要求）</w:t>
      </w:r>
      <w:bookmarkEnd w:id="19"/>
      <w:bookmarkEnd w:id="20"/>
      <w:bookmarkEnd w:id="21"/>
      <w:bookmarkEnd w:id="22"/>
    </w:p>
    <w:p>
      <w:pPr>
        <w:pStyle w:val="16"/>
        <w:jc w:val="center"/>
        <w:outlineLvl w:val="9"/>
        <w:rPr>
          <w:rFonts w:ascii="宋体"/>
          <w:vertAlign w:val="superscript"/>
        </w:rPr>
      </w:pPr>
    </w:p>
    <w:tbl>
      <w:tblPr>
        <w:tblStyle w:val="8"/>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8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183" w:type="dxa"/>
            <w:noWrap w:val="0"/>
            <w:vAlign w:val="center"/>
          </w:tcPr>
          <w:p>
            <w:pPr>
              <w:tabs>
                <w:tab w:val="left" w:pos="1950"/>
              </w:tabs>
              <w:autoSpaceDE w:val="0"/>
              <w:autoSpaceDN w:val="0"/>
              <w:adjustRightInd w:val="0"/>
              <w:spacing w:line="360" w:lineRule="auto"/>
              <w:jc w:val="center"/>
              <w:rPr>
                <w:szCs w:val="21"/>
              </w:rPr>
            </w:pPr>
            <w:r>
              <w:rPr>
                <w:rFonts w:hint="eastAsia" w:hAnsi="宋体"/>
                <w:szCs w:val="21"/>
              </w:rPr>
              <w:t>标段名称</w:t>
            </w:r>
          </w:p>
        </w:tc>
        <w:tc>
          <w:tcPr>
            <w:tcW w:w="8740" w:type="dxa"/>
            <w:noWrap w:val="0"/>
            <w:vAlign w:val="center"/>
          </w:tcPr>
          <w:p>
            <w:pPr>
              <w:tabs>
                <w:tab w:val="left" w:pos="1950"/>
              </w:tabs>
              <w:autoSpaceDE w:val="0"/>
              <w:autoSpaceDN w:val="0"/>
              <w:adjustRightInd w:val="0"/>
              <w:spacing w:line="360" w:lineRule="auto"/>
              <w:jc w:val="center"/>
              <w:rPr>
                <w:szCs w:val="21"/>
              </w:rPr>
            </w:pPr>
            <w:r>
              <w:rPr>
                <w:rFonts w:hint="eastAsia" w:hAnsi="宋体"/>
                <w:szCs w:val="21"/>
              </w:rPr>
              <w:t>信</w:t>
            </w:r>
            <w:r>
              <w:rPr>
                <w:szCs w:val="21"/>
              </w:rPr>
              <w:t xml:space="preserve"> </w:t>
            </w:r>
            <w:r>
              <w:rPr>
                <w:rFonts w:hint="eastAsia" w:hAnsi="宋体"/>
                <w:szCs w:val="21"/>
              </w:rPr>
              <w:t>誉</w:t>
            </w:r>
            <w:r>
              <w:rPr>
                <w:szCs w:val="21"/>
              </w:rPr>
              <w:t xml:space="preserve"> </w:t>
            </w:r>
            <w:r>
              <w:rPr>
                <w:rFonts w:hint="eastAsia" w:hAnsi="宋体"/>
                <w:szCs w:val="21"/>
              </w:rPr>
              <w:t>要</w:t>
            </w:r>
            <w:r>
              <w:rPr>
                <w:szCs w:val="21"/>
              </w:rPr>
              <w:t xml:space="preserve"> </w:t>
            </w:r>
            <w:r>
              <w:rPr>
                <w:rFonts w:hint="eastAsia" w:hAnsi="宋体"/>
                <w:szCs w:val="21"/>
              </w:rPr>
              <w:t>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3" w:hRule="atLeast"/>
          <w:jc w:val="center"/>
        </w:trPr>
        <w:tc>
          <w:tcPr>
            <w:tcW w:w="1183" w:type="dxa"/>
            <w:noWrap w:val="0"/>
            <w:vAlign w:val="center"/>
          </w:tcPr>
          <w:p>
            <w:pPr>
              <w:autoSpaceDE w:val="0"/>
              <w:autoSpaceDN w:val="0"/>
              <w:adjustRightInd w:val="0"/>
              <w:spacing w:line="400" w:lineRule="exact"/>
              <w:jc w:val="center"/>
              <w:rPr>
                <w:rFonts w:hint="eastAsia" w:ascii="宋体" w:eastAsia="宋体"/>
                <w:b/>
                <w:kern w:val="0"/>
                <w:szCs w:val="21"/>
                <w:lang w:eastAsia="zh-CN"/>
              </w:rPr>
            </w:pPr>
            <w:r>
              <w:rPr>
                <w:rFonts w:hint="eastAsia" w:ascii="宋体" w:hAnsi="宋体"/>
                <w:b/>
                <w:kern w:val="0"/>
                <w:szCs w:val="21"/>
                <w:lang w:eastAsia="zh-CN"/>
              </w:rPr>
              <w:t>01</w:t>
            </w:r>
          </w:p>
        </w:tc>
        <w:tc>
          <w:tcPr>
            <w:tcW w:w="8740" w:type="dxa"/>
            <w:noWrap w:val="0"/>
            <w:vAlign w:val="top"/>
          </w:tcPr>
          <w:p>
            <w:pPr>
              <w:adjustRightInd w:val="0"/>
              <w:snapToGrid w:val="0"/>
              <w:spacing w:line="400" w:lineRule="exact"/>
              <w:rPr>
                <w:szCs w:val="21"/>
              </w:rPr>
            </w:pPr>
            <w:r>
              <w:rPr>
                <w:rFonts w:hint="eastAsia"/>
                <w:szCs w:val="21"/>
              </w:rPr>
              <w:t>（1）</w:t>
            </w:r>
            <w:r>
              <w:rPr>
                <w:szCs w:val="21"/>
              </w:rPr>
              <w:t>没有</w:t>
            </w:r>
            <w:r>
              <w:rPr>
                <w:rFonts w:hint="eastAsia" w:hAnsi="宋体"/>
                <w:szCs w:val="21"/>
              </w:rPr>
              <w:t>被吉林省及以上建设主管部门或交通运输主管部门取消本项目所在地的投标资格或禁止进入吉林省建设市场且处于有效期内；</w:t>
            </w:r>
          </w:p>
          <w:p>
            <w:pPr>
              <w:adjustRightInd w:val="0"/>
              <w:snapToGrid w:val="0"/>
              <w:spacing w:line="400" w:lineRule="exact"/>
              <w:rPr>
                <w:szCs w:val="21"/>
              </w:rPr>
            </w:pPr>
            <w:r>
              <w:rPr>
                <w:rFonts w:hint="eastAsia"/>
                <w:szCs w:val="21"/>
              </w:rPr>
              <w:t>（2）</w:t>
            </w:r>
            <w:r>
              <w:rPr>
                <w:szCs w:val="21"/>
              </w:rPr>
              <w:t>没有被责令停业，暂扣或吊销执照，或吊销资质证书；</w:t>
            </w:r>
          </w:p>
          <w:p>
            <w:pPr>
              <w:adjustRightInd w:val="0"/>
              <w:snapToGrid w:val="0"/>
              <w:spacing w:line="400" w:lineRule="exact"/>
              <w:rPr>
                <w:szCs w:val="21"/>
              </w:rPr>
            </w:pPr>
            <w:r>
              <w:rPr>
                <w:rFonts w:hint="eastAsia"/>
                <w:szCs w:val="21"/>
              </w:rPr>
              <w:t>（3）</w:t>
            </w:r>
            <w:r>
              <w:rPr>
                <w:szCs w:val="21"/>
              </w:rPr>
              <w:t>没有进入清算程序，或被宣告破产，或其他丧失履约能力的情形；</w:t>
            </w:r>
          </w:p>
          <w:p>
            <w:pPr>
              <w:adjustRightInd w:val="0"/>
              <w:snapToGrid w:val="0"/>
              <w:spacing w:line="400" w:lineRule="exact"/>
              <w:rPr>
                <w:szCs w:val="21"/>
              </w:rPr>
            </w:pPr>
            <w:r>
              <w:rPr>
                <w:rFonts w:hint="eastAsia"/>
                <w:szCs w:val="21"/>
              </w:rPr>
              <w:t>（4）</w:t>
            </w:r>
            <w:r>
              <w:rPr>
                <w:szCs w:val="21"/>
              </w:rPr>
              <w:t>没有在国家企业信用信息公示系统（</w:t>
            </w:r>
            <w:r>
              <w:fldChar w:fldCharType="begin"/>
            </w:r>
            <w:r>
              <w:instrText xml:space="preserve">HYPERLINK "http://www.gsxt.gov.cn/)%e4%b8%ad%e8%a2%ab%e5%88%97%e5%85%a5%e4%b8%a5%e9%87%8d%e8%bf%9d%e6%b3%95"</w:instrText>
            </w:r>
            <w:r>
              <w:fldChar w:fldCharType="separate"/>
            </w:r>
            <w:r>
              <w:rPr>
                <w:szCs w:val="21"/>
              </w:rPr>
              <w:t>http://www.gsxt.gov.cn/)中被列入严重违法</w:t>
            </w:r>
            <w:r>
              <w:fldChar w:fldCharType="end"/>
            </w:r>
            <w:r>
              <w:rPr>
                <w:szCs w:val="21"/>
              </w:rPr>
              <w:t>失信企业名单；</w:t>
            </w:r>
          </w:p>
          <w:p>
            <w:pPr>
              <w:adjustRightInd w:val="0"/>
              <w:snapToGrid w:val="0"/>
              <w:spacing w:line="400" w:lineRule="exact"/>
              <w:rPr>
                <w:szCs w:val="21"/>
              </w:rPr>
            </w:pPr>
            <w:r>
              <w:rPr>
                <w:rFonts w:hint="eastAsia"/>
                <w:szCs w:val="21"/>
              </w:rPr>
              <w:t>（5）</w:t>
            </w:r>
            <w:r>
              <w:rPr>
                <w:szCs w:val="21"/>
              </w:rPr>
              <w:t>没有在“信用中国”网站（</w:t>
            </w:r>
            <w:r>
              <w:fldChar w:fldCharType="begin"/>
            </w:r>
            <w:r>
              <w:instrText xml:space="preserve">HYPERLINK "http://www.creditchina.gov.cn/)%e4%b8%ad%e8%a2%ab%e5%88%97%e5%85%a5%e5%a4%b1%e4%bf%a1%e8%a2%ab%e6%89%a7%e8%a1%8c"</w:instrText>
            </w:r>
            <w:r>
              <w:fldChar w:fldCharType="separate"/>
            </w:r>
            <w:r>
              <w:rPr>
                <w:szCs w:val="21"/>
              </w:rPr>
              <w:t>http://www.creditchina.gov.cn/)中被列入失信被执行</w:t>
            </w:r>
            <w:r>
              <w:fldChar w:fldCharType="end"/>
            </w:r>
            <w:r>
              <w:rPr>
                <w:szCs w:val="21"/>
              </w:rPr>
              <w:t>人名单；</w:t>
            </w:r>
          </w:p>
          <w:p>
            <w:pPr>
              <w:autoSpaceDE w:val="0"/>
              <w:autoSpaceDN w:val="0"/>
              <w:adjustRightInd w:val="0"/>
              <w:spacing w:line="400" w:lineRule="exact"/>
              <w:jc w:val="left"/>
              <w:rPr>
                <w:szCs w:val="21"/>
              </w:rPr>
            </w:pPr>
            <w:r>
              <w:rPr>
                <w:rFonts w:hint="eastAsia"/>
                <w:szCs w:val="21"/>
              </w:rPr>
              <w:t>（6）</w:t>
            </w:r>
            <w:r>
              <w:rPr>
                <w:rFonts w:hint="eastAsia" w:ascii="宋体" w:hAnsi="宋体"/>
                <w:szCs w:val="21"/>
              </w:rPr>
              <w:t>投标人出具的近三年内投标人及其法定代表人、拟委任的项目经理均无行贿犯罪行为的书面承诺原件。</w:t>
            </w:r>
          </w:p>
        </w:tc>
      </w:tr>
    </w:tbl>
    <w:p>
      <w:pPr>
        <w:rPr>
          <w:sz w:val="24"/>
        </w:rPr>
      </w:pPr>
    </w:p>
    <w:p>
      <w:pPr>
        <w:rPr>
          <w:sz w:val="24"/>
        </w:rPr>
      </w:pPr>
    </w:p>
    <w:p>
      <w:pPr>
        <w:pStyle w:val="3"/>
        <w:spacing w:before="0" w:after="0" w:line="240" w:lineRule="auto"/>
        <w:jc w:val="center"/>
        <w:rPr>
          <w:rFonts w:hint="eastAsia"/>
        </w:rPr>
      </w:pPr>
      <w:bookmarkStart w:id="23" w:name="_Toc13153381"/>
      <w:bookmarkStart w:id="24" w:name="_Toc5803105"/>
      <w:bookmarkStart w:id="25" w:name="_Toc287967396"/>
      <w:bookmarkStart w:id="26" w:name="_Toc514418866"/>
    </w:p>
    <w:p>
      <w:pPr>
        <w:pStyle w:val="3"/>
        <w:spacing w:before="0" w:after="0" w:line="240" w:lineRule="auto"/>
        <w:jc w:val="center"/>
        <w:rPr>
          <w:rFonts w:hint="eastAsia"/>
        </w:rPr>
      </w:pPr>
    </w:p>
    <w:p>
      <w:pPr>
        <w:pStyle w:val="3"/>
        <w:spacing w:before="0" w:after="0" w:line="240" w:lineRule="auto"/>
        <w:jc w:val="center"/>
      </w:pPr>
      <w:r>
        <w:rPr>
          <w:rFonts w:hint="eastAsia"/>
        </w:rPr>
        <w:t>附录</w:t>
      </w:r>
      <w:r>
        <w:t xml:space="preserve">5 </w:t>
      </w:r>
      <w:r>
        <w:rPr>
          <w:rFonts w:hint="eastAsia"/>
        </w:rPr>
        <w:t>资格审查条件（</w:t>
      </w:r>
      <w:r>
        <w:rPr>
          <w:rFonts w:hint="eastAsia"/>
          <w:b w:val="0"/>
          <w:bCs w:val="0"/>
        </w:rPr>
        <w:t>项目经理</w:t>
      </w:r>
      <w:r>
        <w:rPr>
          <w:rFonts w:hint="eastAsia"/>
          <w:b w:val="0"/>
          <w:bCs w:val="0"/>
          <w:highlight w:val="none"/>
        </w:rPr>
        <w:t>和项目总工</w:t>
      </w:r>
      <w:r>
        <w:rPr>
          <w:rFonts w:hint="eastAsia"/>
          <w:b w:val="0"/>
          <w:bCs w:val="0"/>
        </w:rPr>
        <w:t>最低要求</w:t>
      </w:r>
      <w:r>
        <w:rPr>
          <w:rFonts w:hint="eastAsia"/>
        </w:rPr>
        <w:t>）</w:t>
      </w:r>
      <w:bookmarkEnd w:id="23"/>
      <w:bookmarkEnd w:id="24"/>
      <w:bookmarkEnd w:id="25"/>
      <w:bookmarkEnd w:id="26"/>
    </w:p>
    <w:p>
      <w:pPr>
        <w:spacing w:line="360" w:lineRule="auto"/>
        <w:rPr>
          <w:b/>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134"/>
        <w:gridCol w:w="709"/>
        <w:gridCol w:w="5879"/>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noWrap w:val="0"/>
            <w:vAlign w:val="center"/>
          </w:tcPr>
          <w:p>
            <w:pPr>
              <w:autoSpaceDE w:val="0"/>
              <w:autoSpaceDN w:val="0"/>
              <w:adjustRightInd w:val="0"/>
              <w:spacing w:line="400" w:lineRule="exact"/>
              <w:jc w:val="center"/>
              <w:rPr>
                <w:rFonts w:ascii="宋体" w:hAnsi="宋体" w:cs="宋体"/>
                <w:szCs w:val="21"/>
              </w:rPr>
            </w:pPr>
            <w:r>
              <w:rPr>
                <w:rFonts w:hint="eastAsia" w:ascii="宋体" w:hAnsi="宋体" w:cs="宋体"/>
                <w:szCs w:val="21"/>
              </w:rPr>
              <w:t>标段</w:t>
            </w:r>
          </w:p>
        </w:tc>
        <w:tc>
          <w:tcPr>
            <w:tcW w:w="1134" w:type="dxa"/>
            <w:noWrap w:val="0"/>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人员</w:t>
            </w:r>
          </w:p>
        </w:tc>
        <w:tc>
          <w:tcPr>
            <w:tcW w:w="709" w:type="dxa"/>
            <w:noWrap w:val="0"/>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数量</w:t>
            </w:r>
          </w:p>
        </w:tc>
        <w:tc>
          <w:tcPr>
            <w:tcW w:w="5879" w:type="dxa"/>
            <w:noWrap w:val="0"/>
            <w:vAlign w:val="center"/>
          </w:tcPr>
          <w:p>
            <w:pPr>
              <w:autoSpaceDE w:val="0"/>
              <w:autoSpaceDN w:val="0"/>
              <w:adjustRightInd w:val="0"/>
              <w:spacing w:line="400" w:lineRule="exact"/>
              <w:jc w:val="center"/>
              <w:rPr>
                <w:rFonts w:ascii="宋体" w:cs="宋体"/>
                <w:szCs w:val="21"/>
              </w:rPr>
            </w:pPr>
            <w:r>
              <w:rPr>
                <w:rFonts w:hint="eastAsia" w:ascii="宋体" w:hAnsi="宋体" w:cs="宋体"/>
                <w:szCs w:val="21"/>
              </w:rPr>
              <w:t>资格要求</w:t>
            </w:r>
          </w:p>
        </w:tc>
        <w:tc>
          <w:tcPr>
            <w:tcW w:w="1373" w:type="dxa"/>
            <w:noWrap w:val="0"/>
            <w:vAlign w:val="top"/>
          </w:tcPr>
          <w:p>
            <w:pPr>
              <w:autoSpaceDE w:val="0"/>
              <w:autoSpaceDN w:val="0"/>
              <w:adjustRightInd w:val="0"/>
              <w:spacing w:line="400" w:lineRule="exact"/>
              <w:jc w:val="center"/>
              <w:rPr>
                <w:rFonts w:ascii="宋体" w:cs="宋体"/>
                <w:szCs w:val="21"/>
              </w:rPr>
            </w:pPr>
            <w:r>
              <w:rPr>
                <w:rFonts w:hint="eastAsia" w:ascii="宋体" w:hAnsi="宋体" w:cs="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876" w:type="dxa"/>
            <w:vMerge w:val="restart"/>
            <w:noWrap w:val="0"/>
            <w:vAlign w:val="center"/>
          </w:tcPr>
          <w:p>
            <w:pPr>
              <w:autoSpaceDE w:val="0"/>
              <w:autoSpaceDN w:val="0"/>
              <w:adjustRightInd w:val="0"/>
              <w:spacing w:line="400" w:lineRule="exact"/>
              <w:jc w:val="center"/>
              <w:rPr>
                <w:rFonts w:hint="eastAsia" w:ascii="黑体" w:hAnsi="宋体" w:eastAsia="黑体" w:cs="宋体"/>
                <w:szCs w:val="21"/>
                <w:lang w:eastAsia="zh-CN"/>
              </w:rPr>
            </w:pPr>
            <w:r>
              <w:rPr>
                <w:rFonts w:hint="eastAsia" w:ascii="黑体" w:hAnsi="宋体" w:eastAsia="黑体" w:cs="宋体"/>
                <w:szCs w:val="21"/>
                <w:lang w:eastAsia="zh-CN"/>
              </w:rPr>
              <w:t>01</w:t>
            </w:r>
          </w:p>
        </w:tc>
        <w:tc>
          <w:tcPr>
            <w:tcW w:w="1134" w:type="dxa"/>
            <w:noWrap w:val="0"/>
            <w:vAlign w:val="center"/>
          </w:tcPr>
          <w:p>
            <w:pPr>
              <w:autoSpaceDE w:val="0"/>
              <w:autoSpaceDN w:val="0"/>
              <w:adjustRightInd w:val="0"/>
              <w:spacing w:line="400" w:lineRule="exact"/>
              <w:jc w:val="center"/>
              <w:rPr>
                <w:rFonts w:ascii="黑体" w:hAnsi="宋体" w:eastAsia="黑体" w:cs="宋体"/>
                <w:szCs w:val="21"/>
              </w:rPr>
            </w:pPr>
            <w:r>
              <w:rPr>
                <w:rFonts w:hint="eastAsia" w:ascii="黑体" w:hAnsi="宋体" w:eastAsia="黑体" w:cs="宋体"/>
                <w:szCs w:val="21"/>
              </w:rPr>
              <w:t>项目经理</w:t>
            </w:r>
          </w:p>
        </w:tc>
        <w:tc>
          <w:tcPr>
            <w:tcW w:w="709" w:type="dxa"/>
            <w:noWrap w:val="0"/>
            <w:vAlign w:val="center"/>
          </w:tcPr>
          <w:p>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5879" w:type="dxa"/>
            <w:noWrap w:val="0"/>
            <w:vAlign w:val="center"/>
          </w:tcPr>
          <w:p>
            <w:pPr>
              <w:spacing w:line="276" w:lineRule="auto"/>
              <w:rPr>
                <w:rFonts w:ascii="宋体"/>
                <w:b w:val="0"/>
                <w:bCs/>
                <w:sz w:val="21"/>
                <w:szCs w:val="21"/>
              </w:rPr>
            </w:pPr>
            <w:r>
              <w:rPr>
                <w:rFonts w:hint="eastAsia" w:ascii="宋体"/>
                <w:b w:val="0"/>
                <w:bCs/>
                <w:szCs w:val="21"/>
              </w:rPr>
              <w:t>（1）</w:t>
            </w:r>
            <w:r>
              <w:rPr>
                <w:rFonts w:hint="eastAsia" w:ascii="宋体"/>
                <w:b w:val="0"/>
                <w:bCs/>
                <w:sz w:val="21"/>
                <w:szCs w:val="21"/>
              </w:rPr>
              <w:t>投标人自有人员 ；</w:t>
            </w:r>
          </w:p>
          <w:p>
            <w:pPr>
              <w:spacing w:line="276" w:lineRule="auto"/>
              <w:rPr>
                <w:rFonts w:ascii="宋体" w:hAnsi="宋体"/>
                <w:b w:val="0"/>
                <w:bCs/>
                <w:sz w:val="21"/>
                <w:szCs w:val="21"/>
              </w:rPr>
            </w:pPr>
            <w:r>
              <w:rPr>
                <w:rFonts w:hint="eastAsia" w:ascii="宋体"/>
                <w:b w:val="0"/>
                <w:bCs/>
                <w:sz w:val="21"/>
                <w:szCs w:val="21"/>
              </w:rPr>
              <w:t>（2）具有</w:t>
            </w:r>
            <w:r>
              <w:rPr>
                <w:rFonts w:hint="eastAsia" w:ascii="宋体"/>
                <w:b w:val="0"/>
                <w:bCs/>
                <w:sz w:val="21"/>
                <w:szCs w:val="21"/>
                <w:lang w:val="en-US" w:eastAsia="zh-CN"/>
              </w:rPr>
              <w:t>园林绿化相关专业中级及以上职称资格</w:t>
            </w:r>
            <w:r>
              <w:rPr>
                <w:rFonts w:hint="eastAsia" w:ascii="宋体"/>
                <w:b w:val="0"/>
                <w:bCs/>
                <w:sz w:val="21"/>
                <w:szCs w:val="21"/>
              </w:rPr>
              <w:t>；</w:t>
            </w:r>
            <w:r>
              <w:rPr>
                <w:rFonts w:ascii="宋体" w:hAnsi="宋体"/>
                <w:b w:val="0"/>
                <w:bCs/>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b w:val="0"/>
                <w:bCs/>
                <w:lang w:eastAsia="zh-CN"/>
              </w:rPr>
            </w:pPr>
            <w:r>
              <w:rPr>
                <w:rFonts w:hint="eastAsia" w:ascii="宋体" w:hAnsi="宋体" w:eastAsia="宋体" w:cs="宋体"/>
                <w:b w:val="0"/>
                <w:bCs/>
                <w:sz w:val="21"/>
                <w:szCs w:val="21"/>
              </w:rPr>
              <w:t>（</w:t>
            </w:r>
            <w:r>
              <w:rPr>
                <w:rFonts w:hint="eastAsia" w:ascii="宋体" w:hAnsi="宋体" w:eastAsia="宋体" w:cs="宋体"/>
                <w:b w:val="0"/>
                <w:bCs/>
                <w:sz w:val="21"/>
                <w:szCs w:val="21"/>
                <w:lang w:val="en-US" w:eastAsia="zh-CN"/>
              </w:rPr>
              <w:t>3</w:t>
            </w:r>
            <w:r>
              <w:rPr>
                <w:rFonts w:hint="eastAsia" w:ascii="宋体" w:hAnsi="宋体" w:eastAsia="宋体" w:cs="宋体"/>
                <w:b w:val="0"/>
                <w:bCs/>
                <w:sz w:val="21"/>
                <w:szCs w:val="21"/>
              </w:rPr>
              <w:t>）</w:t>
            </w:r>
            <w:r>
              <w:rPr>
                <w:rFonts w:hint="eastAsia" w:ascii="宋体" w:hAnsi="宋体" w:eastAsia="宋体" w:cs="宋体"/>
                <w:b w:val="0"/>
                <w:bCs/>
                <w:sz w:val="21"/>
                <w:szCs w:val="21"/>
                <w:lang w:val="en-US" w:eastAsia="zh-CN"/>
              </w:rPr>
              <w:t>园林绿化</w:t>
            </w:r>
            <w:r>
              <w:rPr>
                <w:rFonts w:hint="eastAsia" w:ascii="宋体" w:hAnsi="宋体" w:eastAsia="宋体" w:cs="宋体"/>
                <w:b w:val="0"/>
                <w:bCs/>
                <w:sz w:val="21"/>
                <w:szCs w:val="21"/>
              </w:rPr>
              <w:t>工程施工管理工作经验5年，且担任过一项园林绿化工程施工的项目经理</w:t>
            </w:r>
            <w:r>
              <w:rPr>
                <w:rFonts w:hint="eastAsia" w:ascii="宋体" w:hAnsi="宋体" w:eastAsia="宋体" w:cs="宋体"/>
                <w:b w:val="0"/>
                <w:bCs/>
                <w:sz w:val="21"/>
                <w:szCs w:val="21"/>
                <w:lang w:eastAsia="zh-CN"/>
              </w:rPr>
              <w:t>。</w:t>
            </w:r>
          </w:p>
        </w:tc>
        <w:tc>
          <w:tcPr>
            <w:tcW w:w="1373" w:type="dxa"/>
            <w:vMerge w:val="restart"/>
            <w:noWrap w:val="0"/>
            <w:vAlign w:val="center"/>
          </w:tcPr>
          <w:p>
            <w:pPr>
              <w:spacing w:line="276" w:lineRule="auto"/>
              <w:jc w:val="center"/>
              <w:rPr>
                <w:rFonts w:ascii="宋体"/>
                <w:b/>
                <w:szCs w:val="21"/>
              </w:rPr>
            </w:pPr>
            <w:r>
              <w:rPr>
                <w:rFonts w:hint="eastAsia" w:ascii="宋体" w:hAnsi="宋体"/>
                <w:szCs w:val="21"/>
              </w:rPr>
              <w:t>无在岗项目（指目前未在其他项目上任职，或虽在其他项目任职但本项目中标后能够从该项目撤离）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jc w:val="center"/>
        </w:trPr>
        <w:tc>
          <w:tcPr>
            <w:tcW w:w="876" w:type="dxa"/>
            <w:vMerge w:val="continue"/>
            <w:noWrap w:val="0"/>
            <w:vAlign w:val="center"/>
          </w:tcPr>
          <w:p>
            <w:pPr>
              <w:autoSpaceDE w:val="0"/>
              <w:autoSpaceDN w:val="0"/>
              <w:adjustRightInd w:val="0"/>
              <w:spacing w:line="400" w:lineRule="exact"/>
              <w:jc w:val="center"/>
              <w:rPr>
                <w:rFonts w:ascii="黑体" w:hAnsi="宋体" w:eastAsia="黑体" w:cs="宋体"/>
                <w:szCs w:val="21"/>
              </w:rPr>
            </w:pPr>
          </w:p>
        </w:tc>
        <w:tc>
          <w:tcPr>
            <w:tcW w:w="1134" w:type="dxa"/>
            <w:noWrap w:val="0"/>
            <w:vAlign w:val="center"/>
          </w:tcPr>
          <w:p>
            <w:pPr>
              <w:autoSpaceDE w:val="0"/>
              <w:autoSpaceDN w:val="0"/>
              <w:adjustRightInd w:val="0"/>
              <w:spacing w:line="400" w:lineRule="exact"/>
              <w:jc w:val="center"/>
              <w:rPr>
                <w:rFonts w:ascii="黑体" w:hAnsi="宋体" w:eastAsia="黑体" w:cs="宋体"/>
                <w:szCs w:val="21"/>
                <w:highlight w:val="none"/>
              </w:rPr>
            </w:pPr>
            <w:r>
              <w:rPr>
                <w:rFonts w:hint="eastAsia" w:ascii="黑体" w:hAnsi="宋体" w:eastAsia="黑体" w:cs="宋体"/>
                <w:szCs w:val="21"/>
                <w:highlight w:val="none"/>
              </w:rPr>
              <w:t>项目总工</w:t>
            </w:r>
          </w:p>
        </w:tc>
        <w:tc>
          <w:tcPr>
            <w:tcW w:w="709" w:type="dxa"/>
            <w:noWrap w:val="0"/>
            <w:vAlign w:val="center"/>
          </w:tcPr>
          <w:p>
            <w:pPr>
              <w:autoSpaceDE w:val="0"/>
              <w:autoSpaceDN w:val="0"/>
              <w:adjustRightInd w:val="0"/>
              <w:spacing w:line="400" w:lineRule="exact"/>
              <w:jc w:val="center"/>
              <w:rPr>
                <w:rFonts w:ascii="宋体" w:cs="宋体"/>
                <w:b/>
                <w:szCs w:val="21"/>
                <w:highlight w:val="none"/>
              </w:rPr>
            </w:pPr>
            <w:r>
              <w:rPr>
                <w:rFonts w:ascii="宋体" w:hAnsi="宋体" w:cs="宋体"/>
                <w:b/>
                <w:szCs w:val="21"/>
                <w:highlight w:val="none"/>
              </w:rPr>
              <w:t>1</w:t>
            </w:r>
          </w:p>
        </w:tc>
        <w:tc>
          <w:tcPr>
            <w:tcW w:w="5879" w:type="dxa"/>
            <w:noWrap w:val="0"/>
            <w:vAlign w:val="center"/>
          </w:tcPr>
          <w:p>
            <w:pPr>
              <w:spacing w:line="276" w:lineRule="auto"/>
              <w:rPr>
                <w:rFonts w:ascii="宋体"/>
                <w:b w:val="0"/>
                <w:bCs/>
                <w:szCs w:val="21"/>
                <w:highlight w:val="none"/>
              </w:rPr>
            </w:pPr>
            <w:r>
              <w:rPr>
                <w:rFonts w:hint="eastAsia" w:ascii="宋体"/>
                <w:b w:val="0"/>
                <w:bCs/>
                <w:szCs w:val="21"/>
                <w:highlight w:val="none"/>
              </w:rPr>
              <w:t>（1）投标人自有人员；</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szCs w:val="21"/>
                <w:highlight w:val="none"/>
              </w:rPr>
            </w:pPr>
            <w:r>
              <w:rPr>
                <w:rFonts w:hint="eastAsia" w:ascii="宋体" w:hAnsi="宋体" w:eastAsia="宋体" w:cs="宋体"/>
                <w:b w:val="0"/>
                <w:bCs/>
                <w:szCs w:val="21"/>
                <w:highlight w:val="none"/>
              </w:rPr>
              <w:t>（2）具有公路工程相关专业中级职称；</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b w:val="0"/>
                <w:bCs/>
                <w:szCs w:val="21"/>
                <w:highlight w:val="none"/>
              </w:rPr>
            </w:pPr>
            <w:r>
              <w:rPr>
                <w:rFonts w:hint="eastAsia" w:ascii="宋体" w:hAnsi="宋体" w:eastAsia="宋体" w:cs="宋体"/>
                <w:b w:val="0"/>
                <w:bCs/>
                <w:szCs w:val="21"/>
                <w:highlight w:val="none"/>
              </w:rPr>
              <w:t>（3）</w:t>
            </w:r>
            <w:r>
              <w:rPr>
                <w:rFonts w:hint="eastAsia" w:ascii="宋体" w:hAnsi="宋体" w:eastAsia="宋体" w:cs="宋体"/>
                <w:b w:val="0"/>
                <w:bCs/>
                <w:sz w:val="21"/>
                <w:szCs w:val="21"/>
                <w:lang w:val="en-US" w:eastAsia="zh-CN"/>
              </w:rPr>
              <w:t>园林绿化</w:t>
            </w:r>
            <w:r>
              <w:rPr>
                <w:rFonts w:hint="eastAsia" w:ascii="宋体" w:hAnsi="宋体" w:eastAsia="宋体" w:cs="宋体"/>
                <w:b w:val="0"/>
                <w:bCs/>
                <w:szCs w:val="21"/>
                <w:highlight w:val="none"/>
              </w:rPr>
              <w:t>工程施工管理工作经验5年，</w:t>
            </w:r>
            <w:r>
              <w:rPr>
                <w:rFonts w:hint="eastAsia" w:ascii="宋体" w:hAnsi="宋体" w:eastAsia="宋体" w:cs="宋体"/>
                <w:b w:val="0"/>
                <w:bCs/>
                <w:sz w:val="21"/>
                <w:szCs w:val="21"/>
              </w:rPr>
              <w:t>且担任过一项园林绿化工程施工的项目经理</w:t>
            </w:r>
            <w:r>
              <w:rPr>
                <w:rFonts w:hint="eastAsia" w:ascii="宋体" w:hAnsi="宋体" w:eastAsia="宋体" w:cs="宋体"/>
                <w:b w:val="0"/>
                <w:bCs/>
                <w:sz w:val="21"/>
                <w:szCs w:val="21"/>
                <w:lang w:eastAsia="zh-CN"/>
              </w:rPr>
              <w:t>。</w:t>
            </w:r>
          </w:p>
        </w:tc>
        <w:tc>
          <w:tcPr>
            <w:tcW w:w="1373" w:type="dxa"/>
            <w:vMerge w:val="continue"/>
            <w:noWrap w:val="0"/>
            <w:vAlign w:val="top"/>
          </w:tcPr>
          <w:p>
            <w:pPr>
              <w:rPr>
                <w:rFonts w:ascii="宋体"/>
                <w:b/>
                <w:szCs w:val="21"/>
              </w:rPr>
            </w:pPr>
          </w:p>
        </w:tc>
      </w:tr>
    </w:tbl>
    <w:p>
      <w:pPr>
        <w:bidi w:val="0"/>
      </w:pPr>
      <w:bookmarkStart w:id="27" w:name="_Toc444693688"/>
      <w:bookmarkStart w:id="28" w:name="_Toc441605620"/>
      <w:bookmarkStart w:id="29" w:name="_Toc444693715"/>
    </w:p>
    <w:p>
      <w:pPr>
        <w:bidi w:val="0"/>
      </w:pPr>
    </w:p>
    <w:p>
      <w:pPr>
        <w:bidi w:val="0"/>
      </w:pPr>
    </w:p>
    <w:p>
      <w:pPr>
        <w:bidi w:val="0"/>
      </w:pPr>
    </w:p>
    <w:p>
      <w:pPr>
        <w:bidi w:val="0"/>
      </w:pPr>
    </w:p>
    <w:p>
      <w:pPr>
        <w:bidi w:val="0"/>
        <w:rPr>
          <w:b/>
          <w:bCs/>
          <w:sz w:val="30"/>
          <w:szCs w:val="30"/>
        </w:rPr>
      </w:pPr>
      <w:r>
        <w:rPr>
          <w:b/>
          <w:bCs/>
          <w:sz w:val="30"/>
          <w:szCs w:val="30"/>
        </w:rPr>
        <w:t xml:space="preserve">5. </w:t>
      </w:r>
      <w:r>
        <w:rPr>
          <w:rFonts w:hint="eastAsia"/>
          <w:b/>
          <w:bCs/>
          <w:sz w:val="30"/>
          <w:szCs w:val="30"/>
        </w:rPr>
        <w:t>评标办法</w:t>
      </w:r>
      <w:bookmarkEnd w:id="27"/>
    </w:p>
    <w:p>
      <w:pPr>
        <w:adjustRightInd w:val="0"/>
        <w:snapToGrid w:val="0"/>
        <w:spacing w:before="62" w:beforeLines="20" w:after="62" w:afterLines="20" w:line="400" w:lineRule="exact"/>
        <w:ind w:firstLine="420" w:firstLineChars="200"/>
        <w:rPr>
          <w:rFonts w:ascii="宋体"/>
          <w:b/>
          <w:szCs w:val="21"/>
        </w:rPr>
      </w:pPr>
      <w:r>
        <w:rPr>
          <w:rFonts w:hint="eastAsia" w:ascii="宋体" w:hAnsi="宋体"/>
          <w:szCs w:val="21"/>
        </w:rPr>
        <w:t>本次招标采用</w:t>
      </w:r>
      <w:r>
        <w:rPr>
          <w:rFonts w:hint="eastAsia" w:ascii="宋体" w:hAnsi="宋体"/>
          <w:b/>
          <w:szCs w:val="21"/>
        </w:rPr>
        <w:t>资格后审方式</w:t>
      </w:r>
      <w:r>
        <w:rPr>
          <w:rFonts w:hint="eastAsia" w:ascii="宋体" w:hAnsi="宋体"/>
          <w:szCs w:val="21"/>
        </w:rPr>
        <w:t>的</w:t>
      </w:r>
      <w:r>
        <w:rPr>
          <w:rFonts w:hint="eastAsia" w:ascii="宋体" w:hAnsi="宋体"/>
          <w:b/>
          <w:szCs w:val="21"/>
        </w:rPr>
        <w:t>双信封技术评分最低标价法。</w:t>
      </w:r>
    </w:p>
    <w:bookmarkEnd w:id="28"/>
    <w:bookmarkEnd w:id="29"/>
    <w:p>
      <w:pPr>
        <w:pStyle w:val="3"/>
        <w:keepNext w:val="0"/>
        <w:keepLines w:val="0"/>
        <w:spacing w:before="0" w:after="0" w:line="415" w:lineRule="auto"/>
        <w:jc w:val="left"/>
        <w:rPr>
          <w:rFonts w:ascii="Times New Roman" w:hAnsi="Times New Roman" w:eastAsia="黑体"/>
          <w:b w:val="0"/>
          <w:bCs w:val="0"/>
        </w:rPr>
      </w:pPr>
      <w:bookmarkStart w:id="30" w:name="_Toc511833196"/>
      <w:bookmarkStart w:id="31" w:name="_Toc441605621"/>
      <w:r>
        <w:rPr>
          <w:rFonts w:ascii="Times New Roman" w:hAnsi="Times New Roman" w:eastAsia="黑体"/>
          <w:b w:val="0"/>
          <w:bCs w:val="0"/>
        </w:rPr>
        <w:t>评标办法前附表</w:t>
      </w:r>
      <w:bookmarkEnd w:id="30"/>
      <w:bookmarkEnd w:id="31"/>
    </w:p>
    <w:tbl>
      <w:tblPr>
        <w:tblStyle w:val="8"/>
        <w:tblW w:w="0" w:type="auto"/>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noWrap w:val="0"/>
            <w:vAlign w:val="center"/>
          </w:tcPr>
          <w:p>
            <w:pPr>
              <w:autoSpaceDE w:val="0"/>
              <w:autoSpaceDN w:val="0"/>
              <w:adjustRightInd w:val="0"/>
              <w:spacing w:line="400" w:lineRule="exact"/>
              <w:jc w:val="center"/>
              <w:rPr>
                <w:bCs/>
                <w:szCs w:val="21"/>
                <w:lang w:val="zh-CN"/>
              </w:rPr>
            </w:pPr>
            <w:r>
              <w:rPr>
                <w:bCs/>
                <w:szCs w:val="21"/>
                <w:lang w:val="zh-CN"/>
              </w:rPr>
              <w:t>条款号</w:t>
            </w:r>
          </w:p>
        </w:tc>
        <w:tc>
          <w:tcPr>
            <w:tcW w:w="7159" w:type="dxa"/>
            <w:tcBorders>
              <w:top w:val="single" w:color="auto" w:sz="4" w:space="0"/>
            </w:tcBorders>
            <w:noWrap w:val="0"/>
            <w:vAlign w:val="center"/>
          </w:tcPr>
          <w:p>
            <w:pPr>
              <w:autoSpaceDE w:val="0"/>
              <w:autoSpaceDN w:val="0"/>
              <w:adjustRightInd w:val="0"/>
              <w:spacing w:line="400" w:lineRule="exact"/>
              <w:jc w:val="center"/>
              <w:rPr>
                <w:bCs/>
                <w:szCs w:val="21"/>
                <w:lang w:val="zh-CN"/>
              </w:rPr>
            </w:pPr>
            <w:r>
              <w:rPr>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934" w:type="dxa"/>
            <w:noWrap w:val="0"/>
            <w:vAlign w:val="center"/>
          </w:tcPr>
          <w:p>
            <w:pPr>
              <w:autoSpaceDE w:val="0"/>
              <w:autoSpaceDN w:val="0"/>
              <w:adjustRightInd w:val="0"/>
              <w:spacing w:line="400" w:lineRule="exact"/>
              <w:jc w:val="center"/>
              <w:rPr>
                <w:bCs/>
                <w:szCs w:val="21"/>
                <w:lang w:val="zh-CN"/>
              </w:rPr>
            </w:pPr>
            <w:r>
              <w:rPr>
                <w:bCs/>
                <w:szCs w:val="21"/>
                <w:lang w:val="zh-CN"/>
              </w:rPr>
              <w:t>1</w:t>
            </w:r>
          </w:p>
        </w:tc>
        <w:tc>
          <w:tcPr>
            <w:tcW w:w="1394" w:type="dxa"/>
            <w:noWrap w:val="0"/>
            <w:vAlign w:val="center"/>
          </w:tcPr>
          <w:p>
            <w:pPr>
              <w:autoSpaceDE w:val="0"/>
              <w:autoSpaceDN w:val="0"/>
              <w:adjustRightInd w:val="0"/>
              <w:spacing w:line="400" w:lineRule="exact"/>
              <w:jc w:val="center"/>
              <w:rPr>
                <w:bCs/>
                <w:szCs w:val="21"/>
                <w:lang w:val="zh-CN"/>
              </w:rPr>
            </w:pPr>
            <w:r>
              <w:rPr>
                <w:bCs/>
                <w:szCs w:val="21"/>
                <w:lang w:val="zh-CN"/>
              </w:rPr>
              <w:t>评标办法</w:t>
            </w:r>
          </w:p>
        </w:tc>
        <w:tc>
          <w:tcPr>
            <w:tcW w:w="7159" w:type="dxa"/>
            <w:noWrap w:val="0"/>
            <w:vAlign w:val="center"/>
          </w:tcPr>
          <w:p>
            <w:pPr>
              <w:autoSpaceDE w:val="0"/>
              <w:autoSpaceDN w:val="0"/>
              <w:adjustRightInd w:val="0"/>
              <w:spacing w:line="320" w:lineRule="exact"/>
              <w:rPr>
                <w:rFonts w:ascii="宋体"/>
              </w:rPr>
            </w:pPr>
            <w:r>
              <w:rPr>
                <w:rFonts w:hint="eastAsia" w:ascii="宋体" w:hAnsi="宋体"/>
              </w:rPr>
              <w:t>本款修改为：</w:t>
            </w:r>
          </w:p>
          <w:p>
            <w:pPr>
              <w:autoSpaceDE w:val="0"/>
              <w:autoSpaceDN w:val="0"/>
              <w:adjustRightInd w:val="0"/>
              <w:spacing w:line="320" w:lineRule="exact"/>
              <w:ind w:firstLine="420" w:firstLineChars="200"/>
              <w:rPr>
                <w:rFonts w:hint="eastAsia" w:ascii="宋体" w:hAnsi="宋体" w:eastAsia="宋体" w:cs="宋体"/>
                <w:bCs/>
                <w:lang w:val="zh-CN"/>
              </w:rPr>
            </w:pPr>
            <w:r>
              <w:rPr>
                <w:rFonts w:hint="eastAsia" w:ascii="宋体" w:hAnsi="宋体"/>
              </w:rPr>
              <w:t>本次评标采用</w:t>
            </w:r>
            <w:r>
              <w:rPr>
                <w:rFonts w:hint="eastAsia" w:ascii="黑体" w:hAnsi="黑体" w:eastAsia="黑体"/>
                <w:b/>
              </w:rPr>
              <w:t>双信封技术评分最低标价法</w:t>
            </w:r>
            <w:r>
              <w:rPr>
                <w:rFonts w:hint="eastAsia" w:ascii="宋体" w:hAnsi="宋体"/>
              </w:rPr>
              <w:t>。评标委员会对通过投标文件第一个信封（商务及技术文件）评审，综合评分前三名的</w:t>
            </w:r>
            <w:r>
              <w:rPr>
                <w:rFonts w:hint="eastAsia" w:ascii="宋体" w:hAnsi="宋体"/>
                <w:kern w:val="0"/>
                <w:lang w:val="zh-CN"/>
              </w:rPr>
              <w:t>投标文件</w:t>
            </w:r>
            <w:r>
              <w:rPr>
                <w:rFonts w:hint="eastAsia" w:ascii="宋体" w:hAnsi="宋体"/>
              </w:rPr>
              <w:t>第二个信封（报价文件）进行开标，按评标价由低到高的顺序</w:t>
            </w:r>
            <w:r>
              <w:rPr>
                <w:rFonts w:hint="eastAsia" w:ascii="黑体" w:hAnsi="黑体" w:eastAsia="黑体"/>
                <w:b/>
              </w:rPr>
              <w:t>推荐中标候选人</w:t>
            </w:r>
            <w:r>
              <w:rPr>
                <w:rFonts w:hint="eastAsia" w:ascii="宋体" w:hAnsi="宋体"/>
              </w:rPr>
              <w:t>，</w:t>
            </w:r>
            <w:r>
              <w:rPr>
                <w:rFonts w:hint="eastAsia" w:ascii="宋体" w:hAnsi="宋体"/>
                <w:bCs/>
                <w:lang w:val="zh-CN"/>
              </w:rPr>
              <w:t>但投标报价低于其成本的除外。</w:t>
            </w:r>
            <w:r>
              <w:rPr>
                <w:rFonts w:hint="eastAsia" w:ascii="宋体" w:hAnsi="宋体" w:eastAsia="宋体" w:cs="宋体"/>
                <w:highlight w:val="none"/>
              </w:rPr>
              <w:t>本项目设置</w:t>
            </w:r>
            <w:r>
              <w:rPr>
                <w:rFonts w:hint="eastAsia" w:ascii="宋体" w:hAnsi="宋体" w:eastAsia="宋体" w:cs="宋体"/>
                <w:highlight w:val="none"/>
                <w:lang w:eastAsia="zh-CN"/>
              </w:rPr>
              <w:t>最高</w:t>
            </w:r>
            <w:r>
              <w:rPr>
                <w:rFonts w:hint="eastAsia" w:ascii="宋体" w:hAnsi="宋体" w:eastAsia="宋体" w:cs="宋体"/>
                <w:highlight w:val="none"/>
              </w:rPr>
              <w:t>投标上限</w:t>
            </w:r>
            <w:r>
              <w:rPr>
                <w:rFonts w:hint="eastAsia" w:ascii="宋体" w:hAnsi="宋体"/>
                <w:highlight w:val="none"/>
              </w:rPr>
              <w:t>，</w:t>
            </w:r>
            <w:r>
              <w:rPr>
                <w:rFonts w:hint="eastAsia" w:ascii="宋体" w:hAnsi="宋体" w:eastAsia="宋体" w:cs="宋体"/>
                <w:highlight w:val="none"/>
              </w:rPr>
              <w:t>高于</w:t>
            </w:r>
            <w:r>
              <w:rPr>
                <w:rFonts w:hint="eastAsia" w:ascii="宋体" w:hAnsi="宋体" w:eastAsia="宋体" w:cs="宋体"/>
                <w:highlight w:val="none"/>
                <w:lang w:eastAsia="zh-CN"/>
              </w:rPr>
              <w:t>最高</w:t>
            </w:r>
            <w:r>
              <w:rPr>
                <w:rFonts w:hint="eastAsia" w:ascii="宋体" w:hAnsi="宋体" w:eastAsia="宋体" w:cs="宋体"/>
                <w:highlight w:val="none"/>
              </w:rPr>
              <w:t>投标上限作废标处理</w:t>
            </w:r>
            <w:r>
              <w:rPr>
                <w:rFonts w:hint="eastAsia" w:ascii="宋体" w:hAnsi="宋体"/>
              </w:rPr>
              <w:t>。</w:t>
            </w:r>
            <w:r>
              <w:rPr>
                <w:rFonts w:hint="eastAsia" w:ascii="宋体" w:hAnsi="宋体" w:eastAsia="宋体" w:cs="宋体"/>
              </w:rPr>
              <w:t>如评标委员会认为投标报价低于成本的，评标委员会将否决其投标。</w:t>
            </w:r>
          </w:p>
          <w:p>
            <w:pPr>
              <w:autoSpaceDE w:val="0"/>
              <w:autoSpaceDN w:val="0"/>
              <w:adjustRightInd w:val="0"/>
              <w:spacing w:line="320" w:lineRule="exact"/>
              <w:ind w:firstLine="420" w:firstLineChars="200"/>
              <w:rPr>
                <w:rFonts w:ascii="宋体"/>
              </w:rPr>
            </w:pPr>
            <w:r>
              <w:rPr>
                <w:rFonts w:hint="eastAsia" w:ascii="宋体" w:hAnsi="宋体"/>
              </w:rPr>
              <w:t>招标评标程序简介如下：</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1</w:t>
            </w:r>
            <w:r>
              <w:rPr>
                <w:rFonts w:hint="eastAsia" w:ascii="宋体" w:hAnsi="宋体"/>
              </w:rPr>
              <w:t>）招标人按照第二章</w:t>
            </w:r>
            <w:r>
              <w:rPr>
                <w:rFonts w:hint="eastAsia" w:ascii="宋体"/>
              </w:rPr>
              <w:t>“</w:t>
            </w:r>
            <w:r>
              <w:rPr>
                <w:rFonts w:hint="eastAsia" w:ascii="宋体" w:hAnsi="宋体"/>
              </w:rPr>
              <w:t>投标人须知</w:t>
            </w:r>
            <w:r>
              <w:rPr>
                <w:rFonts w:hint="eastAsia" w:ascii="宋体"/>
              </w:rPr>
              <w:t>”</w:t>
            </w:r>
            <w:r>
              <w:rPr>
                <w:rFonts w:hint="eastAsia" w:ascii="黑体" w:hAnsi="黑体" w:eastAsia="黑体"/>
                <w:b/>
              </w:rPr>
              <w:t>第</w:t>
            </w:r>
            <w:r>
              <w:rPr>
                <w:rFonts w:ascii="黑体" w:hAnsi="黑体" w:eastAsia="黑体"/>
                <w:b/>
              </w:rPr>
              <w:t>5.2.1</w:t>
            </w:r>
            <w:r>
              <w:rPr>
                <w:rFonts w:hint="eastAsia" w:ascii="黑体" w:hAnsi="黑体" w:eastAsia="黑体"/>
                <w:b/>
              </w:rPr>
              <w:t>项</w:t>
            </w:r>
            <w:r>
              <w:rPr>
                <w:rFonts w:hint="eastAsia" w:ascii="宋体" w:hAnsi="宋体"/>
              </w:rPr>
              <w:t>的规定对投标文件第一个信封（商务及技术文件）进行开标。</w:t>
            </w:r>
          </w:p>
          <w:p>
            <w:pPr>
              <w:autoSpaceDE w:val="0"/>
              <w:autoSpaceDN w:val="0"/>
              <w:adjustRightInd w:val="0"/>
              <w:spacing w:line="320" w:lineRule="exact"/>
              <w:ind w:firstLine="420" w:firstLineChars="200"/>
              <w:rPr>
                <w:rFonts w:ascii="宋体" w:hAnsi="宋体"/>
              </w:rPr>
            </w:pPr>
            <w:r>
              <w:rPr>
                <w:rFonts w:hint="eastAsia" w:ascii="宋体" w:hAnsi="宋体"/>
              </w:rPr>
              <w:t>（</w:t>
            </w:r>
            <w:r>
              <w:rPr>
                <w:rFonts w:ascii="宋体" w:hAnsi="宋体"/>
              </w:rPr>
              <w:t>2</w:t>
            </w:r>
            <w:r>
              <w:rPr>
                <w:rFonts w:hint="eastAsia" w:ascii="宋体" w:hAnsi="宋体"/>
              </w:rPr>
              <w:t>）评标委员会首先对投标文件第一个信封（商务及技术文件）进行评审、评分，确定通过投标文件第一个信封（商务及技术文件）评审的投标人名单及排序。</w:t>
            </w:r>
          </w:p>
          <w:p>
            <w:pPr>
              <w:adjustRightInd w:val="0"/>
              <w:snapToGrid w:val="0"/>
              <w:spacing w:before="36" w:beforeLines="15" w:after="36" w:afterLines="15" w:line="360" w:lineRule="exact"/>
              <w:ind w:firstLine="422" w:firstLineChars="200"/>
              <w:rPr>
                <w:rFonts w:ascii="黑体" w:hAnsi="黑体" w:eastAsia="黑体"/>
                <w:b/>
              </w:rPr>
            </w:pPr>
            <w:r>
              <w:rPr>
                <w:rFonts w:hint="eastAsia" w:ascii="黑体" w:hAnsi="黑体" w:eastAsia="黑体"/>
                <w:b/>
              </w:rPr>
              <w:t>如同一标段出现多名投标人的第一个信封（商务及技术文件）综合得分相等时，则按照以下所列顺位在前的优先：</w:t>
            </w:r>
          </w:p>
          <w:p>
            <w:pPr>
              <w:adjustRightInd w:val="0"/>
              <w:snapToGrid w:val="0"/>
              <w:spacing w:before="48" w:beforeLines="20" w:after="48" w:afterLines="20" w:line="360" w:lineRule="exact"/>
              <w:ind w:firstLine="630" w:firstLineChars="300"/>
              <w:rPr>
                <w:rFonts w:ascii="宋体"/>
              </w:rPr>
            </w:pPr>
            <w:r>
              <w:rPr>
                <w:rFonts w:ascii="宋体" w:hAnsi="宋体"/>
              </w:rPr>
              <w:t>a</w:t>
            </w:r>
            <w:r>
              <w:rPr>
                <w:rFonts w:ascii="宋体"/>
              </w:rPr>
              <w:t>.</w:t>
            </w:r>
            <w:r>
              <w:rPr>
                <w:rFonts w:hint="eastAsia" w:ascii="宋体" w:hAnsi="宋体"/>
              </w:rPr>
              <w:t>施工组织设计得分较高者；</w:t>
            </w:r>
          </w:p>
          <w:p>
            <w:pPr>
              <w:adjustRightInd w:val="0"/>
              <w:snapToGrid w:val="0"/>
              <w:spacing w:before="48" w:beforeLines="20" w:after="48" w:afterLines="20" w:line="360" w:lineRule="exact"/>
              <w:ind w:firstLine="630" w:firstLineChars="300"/>
              <w:rPr>
                <w:rFonts w:ascii="宋体"/>
              </w:rPr>
            </w:pPr>
            <w:r>
              <w:rPr>
                <w:rFonts w:ascii="宋体" w:hAnsi="宋体"/>
              </w:rPr>
              <w:t>b</w:t>
            </w:r>
            <w:r>
              <w:rPr>
                <w:rFonts w:ascii="宋体"/>
              </w:rPr>
              <w:t>.</w:t>
            </w:r>
            <w:r>
              <w:rPr>
                <w:rFonts w:hint="eastAsia" w:ascii="宋体" w:hAnsi="宋体"/>
              </w:rPr>
              <w:t>主要人员得分较高者；</w:t>
            </w:r>
          </w:p>
          <w:p>
            <w:pPr>
              <w:adjustRightInd w:val="0"/>
              <w:snapToGrid w:val="0"/>
              <w:spacing w:before="48" w:beforeLines="20" w:after="48" w:afterLines="20" w:line="360" w:lineRule="exact"/>
              <w:ind w:firstLine="630" w:firstLineChars="300"/>
              <w:rPr>
                <w:rFonts w:ascii="宋体"/>
              </w:rPr>
            </w:pPr>
            <w:r>
              <w:rPr>
                <w:rFonts w:ascii="宋体" w:hAnsi="宋体"/>
              </w:rPr>
              <w:t>c</w:t>
            </w:r>
            <w:r>
              <w:rPr>
                <w:rFonts w:ascii="宋体"/>
              </w:rPr>
              <w:t>.</w:t>
            </w:r>
            <w:r>
              <w:rPr>
                <w:rFonts w:hint="eastAsia" w:ascii="宋体" w:hAnsi="宋体"/>
              </w:rPr>
              <w:t>履约信誉得分较高者；</w:t>
            </w:r>
          </w:p>
          <w:p>
            <w:pPr>
              <w:adjustRightInd w:val="0"/>
              <w:snapToGrid w:val="0"/>
              <w:spacing w:before="48" w:beforeLines="20" w:after="48" w:afterLines="20" w:line="360" w:lineRule="exact"/>
              <w:ind w:firstLine="630" w:firstLineChars="300"/>
              <w:rPr>
                <w:rFonts w:ascii="宋体"/>
              </w:rPr>
            </w:pPr>
            <w:r>
              <w:rPr>
                <w:rFonts w:ascii="宋体" w:hAnsi="宋体"/>
              </w:rPr>
              <w:t>d</w:t>
            </w:r>
            <w:r>
              <w:rPr>
                <w:rFonts w:ascii="宋体"/>
              </w:rPr>
              <w:t>.</w:t>
            </w:r>
            <w:r>
              <w:rPr>
                <w:rFonts w:hint="eastAsia" w:ascii="宋体" w:hAnsi="宋体"/>
              </w:rPr>
              <w:t>技术能力得分较高者。</w:t>
            </w:r>
          </w:p>
          <w:p>
            <w:pPr>
              <w:autoSpaceDE w:val="0"/>
              <w:autoSpaceDN w:val="0"/>
              <w:adjustRightInd w:val="0"/>
              <w:spacing w:line="320" w:lineRule="exact"/>
              <w:ind w:firstLine="420" w:firstLineChars="200"/>
              <w:rPr>
                <w:rFonts w:ascii="宋体"/>
              </w:rPr>
            </w:pPr>
            <w:r>
              <w:rPr>
                <w:rFonts w:hint="eastAsia"/>
              </w:rPr>
              <w:t>若第一个信封评审时以上各项评分因素得分都相等，则通过评委会投票表决，推荐票数多的投标人排序在先。</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3</w:t>
            </w:r>
            <w:r>
              <w:rPr>
                <w:rFonts w:hint="eastAsia" w:ascii="宋体" w:hAnsi="宋体"/>
              </w:rPr>
              <w:t>）招标人按照第二章</w:t>
            </w:r>
            <w:r>
              <w:rPr>
                <w:rFonts w:hint="eastAsia" w:ascii="宋体"/>
              </w:rPr>
              <w:t>“</w:t>
            </w:r>
            <w:r>
              <w:rPr>
                <w:rFonts w:hint="eastAsia" w:ascii="宋体" w:hAnsi="宋体"/>
              </w:rPr>
              <w:t>投标人须知</w:t>
            </w:r>
            <w:r>
              <w:rPr>
                <w:rFonts w:hint="eastAsia" w:ascii="宋体"/>
              </w:rPr>
              <w:t>”</w:t>
            </w:r>
            <w:r>
              <w:rPr>
                <w:rFonts w:hint="eastAsia" w:ascii="黑体" w:hAnsi="黑体" w:eastAsia="黑体"/>
                <w:b/>
              </w:rPr>
              <w:t>第</w:t>
            </w:r>
            <w:r>
              <w:rPr>
                <w:rFonts w:ascii="黑体" w:hAnsi="黑体" w:eastAsia="黑体"/>
                <w:b/>
              </w:rPr>
              <w:t>5.2.</w:t>
            </w:r>
            <w:r>
              <w:rPr>
                <w:rFonts w:hint="eastAsia" w:ascii="黑体" w:hAnsi="黑体" w:eastAsia="黑体"/>
                <w:b/>
              </w:rPr>
              <w:t>3项</w:t>
            </w:r>
            <w:r>
              <w:rPr>
                <w:rFonts w:hint="eastAsia" w:ascii="宋体" w:hAnsi="宋体"/>
              </w:rPr>
              <w:t>的规定对通过第一信封评审且综合评分前三名的投标人其第二个信封（报价文件）进行开标。</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4</w:t>
            </w:r>
            <w:r>
              <w:rPr>
                <w:rFonts w:hint="eastAsia" w:ascii="宋体" w:hAnsi="宋体"/>
              </w:rPr>
              <w:t>）评标委员会对开标的投标文件第二个信封（报价文件）进行评审，并按评标价由低到高的顺序推荐中标候选人。</w:t>
            </w:r>
          </w:p>
          <w:p>
            <w:pPr>
              <w:autoSpaceDE w:val="0"/>
              <w:autoSpaceDN w:val="0"/>
              <w:adjustRightInd w:val="0"/>
              <w:spacing w:line="320" w:lineRule="exact"/>
              <w:ind w:firstLine="420" w:firstLineChars="200"/>
              <w:rPr>
                <w:szCs w:val="21"/>
              </w:rPr>
            </w:pPr>
            <w:r>
              <w:rPr>
                <w:rFonts w:hint="eastAsia" w:ascii="宋体" w:hAnsi="宋体"/>
              </w:rPr>
              <w:t>检查是否有围标、串标情况，如有相关投标文件将被否决。</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0" w:hRule="atLeast"/>
        </w:trPr>
        <w:tc>
          <w:tcPr>
            <w:tcW w:w="934" w:type="dxa"/>
            <w:tcBorders>
              <w:top w:val="single" w:color="auto" w:sz="4" w:space="0"/>
              <w:bottom w:val="single" w:color="auto" w:sz="4" w:space="0"/>
            </w:tcBorders>
            <w:noWrap w:val="0"/>
            <w:vAlign w:val="center"/>
          </w:tcPr>
          <w:p>
            <w:pPr>
              <w:autoSpaceDE w:val="0"/>
              <w:autoSpaceDN w:val="0"/>
              <w:adjustRightInd w:val="0"/>
              <w:spacing w:line="400" w:lineRule="exact"/>
              <w:jc w:val="center"/>
              <w:rPr>
                <w:bCs/>
                <w:szCs w:val="21"/>
                <w:lang w:val="zh-CN"/>
              </w:rPr>
            </w:pPr>
            <w:r>
              <w:rPr>
                <w:bCs/>
                <w:szCs w:val="21"/>
                <w:lang w:val="zh-CN"/>
              </w:rPr>
              <w:t>2.1.1</w:t>
            </w:r>
          </w:p>
        </w:tc>
        <w:tc>
          <w:tcPr>
            <w:tcW w:w="1394" w:type="dxa"/>
            <w:tcBorders>
              <w:top w:val="single" w:color="auto" w:sz="4" w:space="0"/>
              <w:bottom w:val="single" w:color="auto" w:sz="4" w:space="0"/>
            </w:tcBorders>
            <w:noWrap w:val="0"/>
            <w:vAlign w:val="center"/>
          </w:tcPr>
          <w:p>
            <w:pPr>
              <w:autoSpaceDE w:val="0"/>
              <w:autoSpaceDN w:val="0"/>
              <w:adjustRightInd w:val="0"/>
              <w:spacing w:line="400" w:lineRule="exact"/>
              <w:jc w:val="center"/>
              <w:rPr>
                <w:bCs/>
                <w:szCs w:val="21"/>
                <w:lang w:val="zh-CN"/>
              </w:rPr>
            </w:pPr>
            <w:r>
              <w:rPr>
                <w:rFonts w:eastAsia="黑体"/>
                <w:szCs w:val="21"/>
              </w:rPr>
              <w:t>第一</w:t>
            </w:r>
            <w:r>
              <w:rPr>
                <w:rFonts w:hint="eastAsia" w:eastAsia="黑体"/>
                <w:szCs w:val="21"/>
              </w:rPr>
              <w:t>个</w:t>
            </w:r>
            <w:r>
              <w:rPr>
                <w:rFonts w:eastAsia="黑体"/>
                <w:szCs w:val="21"/>
              </w:rPr>
              <w:t>信封</w:t>
            </w:r>
          </w:p>
          <w:p>
            <w:pPr>
              <w:autoSpaceDE w:val="0"/>
              <w:autoSpaceDN w:val="0"/>
              <w:adjustRightInd w:val="0"/>
              <w:spacing w:line="400" w:lineRule="exact"/>
              <w:jc w:val="center"/>
              <w:rPr>
                <w:bCs/>
                <w:szCs w:val="21"/>
                <w:lang w:val="zh-CN"/>
              </w:rPr>
            </w:pPr>
            <w:r>
              <w:rPr>
                <w:bCs/>
                <w:szCs w:val="21"/>
                <w:lang w:val="zh-CN"/>
              </w:rPr>
              <w:t>形式评审</w:t>
            </w:r>
          </w:p>
          <w:p>
            <w:pPr>
              <w:autoSpaceDE w:val="0"/>
              <w:autoSpaceDN w:val="0"/>
              <w:adjustRightInd w:val="0"/>
              <w:spacing w:line="400" w:lineRule="exact"/>
              <w:jc w:val="center"/>
              <w:rPr>
                <w:bCs/>
                <w:szCs w:val="21"/>
                <w:lang w:val="zh-CN"/>
              </w:rPr>
            </w:pPr>
            <w:r>
              <w:rPr>
                <w:bCs/>
                <w:szCs w:val="21"/>
                <w:lang w:val="zh-CN"/>
              </w:rPr>
              <w:t>与响应性</w:t>
            </w:r>
          </w:p>
          <w:p>
            <w:pPr>
              <w:autoSpaceDE w:val="0"/>
              <w:autoSpaceDN w:val="0"/>
              <w:adjustRightInd w:val="0"/>
              <w:spacing w:line="400" w:lineRule="exact"/>
              <w:jc w:val="center"/>
              <w:rPr>
                <w:bCs/>
                <w:szCs w:val="21"/>
                <w:lang w:val="zh-CN"/>
              </w:rPr>
            </w:pPr>
            <w:r>
              <w:rPr>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rPr>
                <w:rFonts w:eastAsia="黑体"/>
                <w:szCs w:val="21"/>
              </w:rPr>
            </w:pPr>
            <w:r>
              <w:rPr>
                <w:rFonts w:eastAsia="黑体"/>
                <w:szCs w:val="21"/>
              </w:rPr>
              <w:t>第一</w:t>
            </w:r>
            <w:r>
              <w:rPr>
                <w:rFonts w:hint="eastAsia" w:eastAsia="黑体"/>
                <w:szCs w:val="21"/>
              </w:rPr>
              <w:t>个</w:t>
            </w:r>
            <w:r>
              <w:rPr>
                <w:rFonts w:eastAsia="黑体"/>
                <w:szCs w:val="21"/>
              </w:rPr>
              <w:t>信封（商务及技术文件）</w:t>
            </w:r>
          </w:p>
          <w:p>
            <w:pPr>
              <w:autoSpaceDE w:val="0"/>
              <w:autoSpaceDN w:val="0"/>
              <w:adjustRightInd w:val="0"/>
              <w:spacing w:line="320" w:lineRule="exact"/>
              <w:ind w:firstLine="420" w:firstLineChars="200"/>
              <w:jc w:val="left"/>
              <w:rPr>
                <w:bCs/>
                <w:szCs w:val="21"/>
                <w:lang w:val="zh-CN"/>
              </w:rPr>
            </w:pPr>
            <w:r>
              <w:rPr>
                <w:bCs/>
                <w:szCs w:val="21"/>
                <w:lang w:val="zh-CN"/>
              </w:rPr>
              <w:t>(1)投标文件按照招标文件规定的格式、内容填写，字迹清晰可辨：</w:t>
            </w:r>
          </w:p>
          <w:p>
            <w:pPr>
              <w:autoSpaceDE w:val="0"/>
              <w:autoSpaceDN w:val="0"/>
              <w:adjustRightInd w:val="0"/>
              <w:spacing w:line="320" w:lineRule="exact"/>
              <w:ind w:firstLine="420" w:firstLineChars="200"/>
              <w:jc w:val="left"/>
              <w:rPr>
                <w:bCs/>
                <w:szCs w:val="21"/>
                <w:lang w:val="zh-CN"/>
              </w:rPr>
            </w:pPr>
            <w:r>
              <w:rPr>
                <w:bCs/>
                <w:szCs w:val="21"/>
                <w:lang w:val="zh-CN"/>
              </w:rPr>
              <w:t>a.投标函按招标文件规定填报了项目名称、标段号、补遗书编号（如有）、工期、工程质量要求及安全目标 ；</w:t>
            </w:r>
          </w:p>
          <w:p>
            <w:pPr>
              <w:autoSpaceDE w:val="0"/>
              <w:autoSpaceDN w:val="0"/>
              <w:adjustRightInd w:val="0"/>
              <w:spacing w:line="320" w:lineRule="exact"/>
              <w:ind w:firstLine="420" w:firstLineChars="200"/>
              <w:jc w:val="left"/>
              <w:rPr>
                <w:bCs/>
                <w:szCs w:val="21"/>
                <w:lang w:val="zh-CN"/>
              </w:rPr>
            </w:pPr>
            <w:r>
              <w:rPr>
                <w:bCs/>
                <w:szCs w:val="21"/>
                <w:lang w:val="zh-CN"/>
              </w:rPr>
              <w:t>b.投标函附录的所有数据均符合招标文件规定</w:t>
            </w:r>
            <w:r>
              <w:rPr>
                <w:rFonts w:hint="eastAsia"/>
                <w:bCs/>
                <w:szCs w:val="21"/>
                <w:lang w:val="zh-CN"/>
              </w:rPr>
              <w:t>；</w:t>
            </w:r>
          </w:p>
          <w:p>
            <w:pPr>
              <w:autoSpaceDE w:val="0"/>
              <w:autoSpaceDN w:val="0"/>
              <w:adjustRightInd w:val="0"/>
              <w:spacing w:line="320" w:lineRule="exact"/>
              <w:ind w:firstLine="420" w:firstLineChars="200"/>
              <w:jc w:val="left"/>
              <w:rPr>
                <w:bCs/>
                <w:szCs w:val="21"/>
                <w:lang w:val="zh-CN"/>
              </w:rPr>
            </w:pPr>
            <w:r>
              <w:rPr>
                <w:bCs/>
                <w:szCs w:val="21"/>
                <w:lang w:val="zh-CN"/>
              </w:rPr>
              <w:t>c.投标文件组成齐全完整 ，内容均按规定填写 。</w:t>
            </w:r>
          </w:p>
          <w:p>
            <w:pPr>
              <w:autoSpaceDE w:val="0"/>
              <w:autoSpaceDN w:val="0"/>
              <w:adjustRightInd w:val="0"/>
              <w:spacing w:line="320" w:lineRule="exact"/>
              <w:ind w:firstLine="315" w:firstLineChars="150"/>
              <w:jc w:val="left"/>
              <w:rPr>
                <w:bCs/>
                <w:szCs w:val="21"/>
                <w:lang w:val="zh-CN"/>
              </w:rPr>
            </w:pPr>
            <w:r>
              <w:rPr>
                <w:bCs/>
                <w:szCs w:val="21"/>
                <w:lang w:val="zh-CN"/>
              </w:rPr>
              <w:t xml:space="preserve"> (2)投标文件上法定代表人或其授权代理人的签字、投标人的单位章盖章齐全，符合招标文件规定</w:t>
            </w:r>
            <w:r>
              <w:rPr>
                <w:rFonts w:hint="eastAsia"/>
                <w:bCs/>
                <w:szCs w:val="21"/>
                <w:lang w:val="zh-CN"/>
              </w:rPr>
              <w:t>。</w:t>
            </w:r>
          </w:p>
          <w:p>
            <w:pPr>
              <w:adjustRightInd w:val="0"/>
              <w:snapToGrid w:val="0"/>
              <w:spacing w:before="24" w:beforeLines="10" w:after="24" w:afterLines="10"/>
              <w:ind w:firstLine="420" w:firstLineChars="200"/>
              <w:rPr>
                <w:bCs/>
                <w:szCs w:val="21"/>
                <w:lang w:val="zh-CN"/>
              </w:rPr>
            </w:pPr>
            <w:r>
              <w:rPr>
                <w:bCs/>
                <w:szCs w:val="21"/>
                <w:lang w:val="zh-CN"/>
              </w:rPr>
              <w:t>(3)</w:t>
            </w:r>
            <w:r>
              <w:rPr>
                <w:rFonts w:hint="eastAsia" w:ascii="宋体" w:hAnsi="宋体"/>
                <w:szCs w:val="21"/>
              </w:rPr>
              <w:t xml:space="preserve"> 投标人按照招标文件规定提供了投标保证金：</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2" w:hRule="atLeast"/>
        </w:trPr>
        <w:tc>
          <w:tcPr>
            <w:tcW w:w="934" w:type="dxa"/>
            <w:tcBorders>
              <w:top w:val="single" w:color="auto" w:sz="4" w:space="0"/>
              <w:bottom w:val="nil"/>
            </w:tcBorders>
            <w:noWrap w:val="0"/>
            <w:vAlign w:val="center"/>
          </w:tcPr>
          <w:p>
            <w:pPr>
              <w:autoSpaceDE w:val="0"/>
              <w:autoSpaceDN w:val="0"/>
              <w:adjustRightInd w:val="0"/>
              <w:spacing w:line="400" w:lineRule="exact"/>
              <w:jc w:val="center"/>
              <w:rPr>
                <w:bCs/>
                <w:szCs w:val="21"/>
                <w:lang w:val="zh-CN"/>
              </w:rPr>
            </w:pPr>
          </w:p>
        </w:tc>
        <w:tc>
          <w:tcPr>
            <w:tcW w:w="1394" w:type="dxa"/>
            <w:tcBorders>
              <w:top w:val="single" w:color="auto" w:sz="4" w:space="0"/>
              <w:bottom w:val="single" w:color="auto" w:sz="4" w:space="0"/>
            </w:tcBorders>
            <w:noWrap w:val="0"/>
            <w:vAlign w:val="center"/>
          </w:tcPr>
          <w:p>
            <w:pPr>
              <w:autoSpaceDE w:val="0"/>
              <w:autoSpaceDN w:val="0"/>
              <w:adjustRightInd w:val="0"/>
              <w:spacing w:line="400" w:lineRule="exact"/>
              <w:jc w:val="center"/>
              <w:rPr>
                <w:rFonts w:eastAsia="黑体"/>
                <w:szCs w:val="21"/>
              </w:rPr>
            </w:pPr>
          </w:p>
        </w:tc>
        <w:tc>
          <w:tcPr>
            <w:tcW w:w="7159" w:type="dxa"/>
            <w:tcBorders>
              <w:top w:val="single" w:color="auto" w:sz="4" w:space="0"/>
              <w:bottom w:val="single" w:color="auto" w:sz="4" w:space="0"/>
            </w:tcBorders>
            <w:noWrap w:val="0"/>
            <w:vAlign w:val="center"/>
          </w:tcPr>
          <w:p>
            <w:pPr>
              <w:autoSpaceDE w:val="0"/>
              <w:autoSpaceDN w:val="0"/>
              <w:adjustRightInd w:val="0"/>
              <w:spacing w:line="320" w:lineRule="exact"/>
              <w:ind w:firstLine="420" w:firstLineChars="200"/>
              <w:jc w:val="left"/>
              <w:rPr>
                <w:bCs/>
                <w:szCs w:val="21"/>
                <w:lang w:val="zh-CN"/>
              </w:rPr>
            </w:pPr>
            <w:r>
              <w:rPr>
                <w:rFonts w:hint="eastAsia"/>
                <w:bCs/>
                <w:szCs w:val="21"/>
                <w:lang w:val="zh-CN"/>
              </w:rPr>
              <w:t>a.投标保证金金额符合招标文件规定的金额，且投标保证金有效期不少于投标有效期；</w:t>
            </w:r>
          </w:p>
          <w:p>
            <w:pPr>
              <w:autoSpaceDE w:val="0"/>
              <w:autoSpaceDN w:val="0"/>
              <w:adjustRightInd w:val="0"/>
              <w:spacing w:line="320" w:lineRule="exact"/>
              <w:ind w:firstLine="420" w:firstLineChars="200"/>
              <w:jc w:val="left"/>
              <w:rPr>
                <w:bCs/>
                <w:szCs w:val="21"/>
                <w:lang w:val="zh-CN"/>
              </w:rPr>
            </w:pPr>
            <w:r>
              <w:rPr>
                <w:rFonts w:hint="eastAsia"/>
                <w:bCs/>
                <w:szCs w:val="21"/>
                <w:lang w:val="zh-CN"/>
              </w:rPr>
              <w:t>b.</w:t>
            </w:r>
            <w:r>
              <w:rPr>
                <w:bCs/>
                <w:szCs w:val="21"/>
                <w:lang w:val="zh-CN"/>
              </w:rPr>
              <w:t xml:space="preserve"> 若投标保证金采用现金或支票形式提交，</w:t>
            </w:r>
            <w:r>
              <w:rPr>
                <w:bCs/>
                <w:szCs w:val="21"/>
                <w:highlight w:val="none"/>
                <w:lang w:val="zh-CN"/>
              </w:rPr>
              <w:t>投标人应在递交投标文件截止时间之前，将投标保证金由投标人的基本账户转入招标人指定账户</w:t>
            </w:r>
            <w:r>
              <w:rPr>
                <w:bCs/>
                <w:szCs w:val="21"/>
                <w:lang w:val="zh-CN"/>
              </w:rPr>
              <w:t>；</w:t>
            </w:r>
          </w:p>
          <w:p>
            <w:pPr>
              <w:autoSpaceDE w:val="0"/>
              <w:autoSpaceDN w:val="0"/>
              <w:adjustRightInd w:val="0"/>
              <w:spacing w:line="320" w:lineRule="exact"/>
              <w:ind w:firstLine="420" w:firstLineChars="200"/>
              <w:jc w:val="left"/>
              <w:rPr>
                <w:bCs/>
                <w:szCs w:val="21"/>
                <w:lang w:val="zh-CN"/>
              </w:rPr>
            </w:pPr>
            <w:r>
              <w:rPr>
                <w:rFonts w:hint="eastAsia"/>
                <w:bCs/>
                <w:szCs w:val="21"/>
                <w:lang w:val="zh-CN"/>
              </w:rPr>
              <w:t>c．</w:t>
            </w:r>
            <w:r>
              <w:rPr>
                <w:bCs/>
                <w:szCs w:val="21"/>
                <w:lang w:val="zh-CN"/>
              </w:rPr>
              <w:t>若投标保证金采用银行保函形式提交，银行保函的格式、开具保函的银行均满足招标文件要求，且在递交投标文件截止时间之前向招标人提交了银行保函原件。</w:t>
            </w:r>
          </w:p>
          <w:p>
            <w:pPr>
              <w:autoSpaceDE w:val="0"/>
              <w:autoSpaceDN w:val="0"/>
              <w:adjustRightInd w:val="0"/>
              <w:spacing w:line="320" w:lineRule="exact"/>
              <w:ind w:firstLine="420" w:firstLineChars="200"/>
              <w:jc w:val="left"/>
              <w:rPr>
                <w:szCs w:val="24"/>
              </w:rPr>
            </w:pPr>
            <w:r>
              <w:rPr>
                <w:bCs/>
                <w:szCs w:val="21"/>
                <w:lang w:val="zh-CN"/>
              </w:rPr>
              <w:t>(4)</w:t>
            </w:r>
            <w:r>
              <w:rPr>
                <w:szCs w:val="24"/>
              </w:rPr>
              <w:t xml:space="preserve"> 投标人法定代表人授权委托代理人签署投标文件的，需提交授权委托书，且授权人和被授权人均在授权委托书上签名，未使用印章、签名章或其他电子制版签名代替。</w:t>
            </w:r>
          </w:p>
          <w:p>
            <w:pPr>
              <w:autoSpaceDE w:val="0"/>
              <w:autoSpaceDN w:val="0"/>
              <w:adjustRightInd w:val="0"/>
              <w:spacing w:line="320" w:lineRule="exact"/>
              <w:ind w:firstLine="420" w:firstLineChars="200"/>
              <w:jc w:val="left"/>
              <w:rPr>
                <w:rFonts w:ascii="宋体" w:hAnsi="宋体"/>
                <w:szCs w:val="21"/>
              </w:rPr>
            </w:pPr>
            <w:r>
              <w:rPr>
                <w:bCs/>
                <w:szCs w:val="21"/>
                <w:lang w:val="zh-CN"/>
              </w:rPr>
              <w:t>(5)</w:t>
            </w:r>
            <w:r>
              <w:rPr>
                <w:rFonts w:ascii="宋体" w:hAnsi="宋体"/>
                <w:szCs w:val="21"/>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20" w:firstLineChars="200"/>
              <w:jc w:val="left"/>
              <w:rPr>
                <w:bCs/>
                <w:szCs w:val="21"/>
                <w:lang w:val="zh-CN"/>
              </w:rPr>
            </w:pPr>
            <w:r>
              <w:rPr>
                <w:bCs/>
                <w:szCs w:val="21"/>
                <w:lang w:val="zh-CN"/>
              </w:rPr>
              <w:t>(6)投标人未以联合体形式投标。</w:t>
            </w:r>
          </w:p>
          <w:p>
            <w:pPr>
              <w:autoSpaceDE w:val="0"/>
              <w:autoSpaceDN w:val="0"/>
              <w:adjustRightInd w:val="0"/>
              <w:spacing w:line="320" w:lineRule="exact"/>
              <w:ind w:firstLine="420" w:firstLineChars="200"/>
              <w:jc w:val="left"/>
              <w:rPr>
                <w:rFonts w:ascii="宋体" w:hAnsi="宋体" w:cs="宋体"/>
                <w:bCs/>
                <w:szCs w:val="21"/>
                <w:lang w:val="zh-CN"/>
              </w:rPr>
            </w:pPr>
            <w:r>
              <w:rPr>
                <w:bCs/>
                <w:szCs w:val="21"/>
                <w:lang w:val="zh-CN"/>
              </w:rPr>
              <w:t>(7)投标人</w:t>
            </w:r>
            <w:r>
              <w:rPr>
                <w:rFonts w:hint="eastAsia"/>
                <w:bCs/>
                <w:szCs w:val="21"/>
                <w:lang w:val="zh-CN"/>
              </w:rPr>
              <w:t>未有分包计划</w:t>
            </w:r>
            <w:r>
              <w:rPr>
                <w:rFonts w:hint="eastAsia" w:ascii="宋体" w:hAnsi="宋体" w:cs="宋体"/>
                <w:bCs/>
                <w:szCs w:val="21"/>
                <w:lang w:val="zh-CN"/>
              </w:rPr>
              <w:t>。</w:t>
            </w:r>
          </w:p>
          <w:p>
            <w:pPr>
              <w:autoSpaceDE w:val="0"/>
              <w:autoSpaceDN w:val="0"/>
              <w:adjustRightInd w:val="0"/>
              <w:spacing w:line="320" w:lineRule="exact"/>
              <w:ind w:firstLine="420" w:firstLineChars="200"/>
              <w:jc w:val="left"/>
              <w:rPr>
                <w:bCs/>
                <w:szCs w:val="21"/>
                <w:lang w:val="zh-CN"/>
              </w:rPr>
            </w:pPr>
            <w:r>
              <w:rPr>
                <w:bCs/>
                <w:szCs w:val="21"/>
                <w:lang w:val="zh-CN"/>
              </w:rPr>
              <w:t>(8)同一投标人未提交两个以上不同的投标文件，但招标文件要求提交备选投标的除外。</w:t>
            </w:r>
          </w:p>
          <w:p>
            <w:pPr>
              <w:autoSpaceDE w:val="0"/>
              <w:autoSpaceDN w:val="0"/>
              <w:adjustRightInd w:val="0"/>
              <w:spacing w:line="320" w:lineRule="exact"/>
              <w:ind w:firstLine="420" w:firstLineChars="200"/>
              <w:jc w:val="left"/>
              <w:rPr>
                <w:bCs/>
                <w:szCs w:val="21"/>
                <w:lang w:val="zh-CN"/>
              </w:rPr>
            </w:pPr>
            <w:r>
              <w:rPr>
                <w:bCs/>
                <w:szCs w:val="21"/>
                <w:lang w:val="zh-CN"/>
              </w:rPr>
              <w:t>(</w:t>
            </w:r>
            <w:r>
              <w:rPr>
                <w:rFonts w:hint="eastAsia"/>
                <w:bCs/>
                <w:szCs w:val="21"/>
                <w:lang w:val="zh-CN"/>
              </w:rPr>
              <w:t>9</w:t>
            </w:r>
            <w:r>
              <w:rPr>
                <w:bCs/>
                <w:szCs w:val="21"/>
                <w:lang w:val="zh-CN"/>
              </w:rPr>
              <w:t>)</w:t>
            </w:r>
            <w:r>
              <w:rPr>
                <w:rFonts w:hint="eastAsia"/>
                <w:bCs/>
                <w:szCs w:val="21"/>
                <w:lang w:val="zh-CN"/>
              </w:rPr>
              <w:t>投标文件中</w:t>
            </w:r>
            <w:r>
              <w:rPr>
                <w:bCs/>
                <w:szCs w:val="21"/>
                <w:lang w:val="zh-CN"/>
              </w:rPr>
              <w:t>未出现有关投标报价的内容。</w:t>
            </w:r>
          </w:p>
          <w:p>
            <w:pPr>
              <w:autoSpaceDE w:val="0"/>
              <w:autoSpaceDN w:val="0"/>
              <w:adjustRightInd w:val="0"/>
              <w:spacing w:line="320" w:lineRule="exact"/>
              <w:ind w:firstLine="420" w:firstLineChars="200"/>
              <w:jc w:val="left"/>
              <w:rPr>
                <w:bCs/>
                <w:szCs w:val="21"/>
                <w:lang w:val="zh-CN"/>
              </w:rPr>
            </w:pPr>
            <w:r>
              <w:rPr>
                <w:bCs/>
                <w:szCs w:val="21"/>
                <w:lang w:val="zh-CN"/>
              </w:rPr>
              <w:t>(</w:t>
            </w:r>
            <w:r>
              <w:rPr>
                <w:rFonts w:hint="eastAsia"/>
                <w:bCs/>
                <w:szCs w:val="21"/>
                <w:lang w:val="zh-CN"/>
              </w:rPr>
              <w:t>10</w:t>
            </w:r>
            <w:r>
              <w:rPr>
                <w:bCs/>
                <w:szCs w:val="21"/>
                <w:lang w:val="zh-CN"/>
              </w:rPr>
              <w:t>)投标文件载明的招标项目完成期限未超过招标文件规定的时限。</w:t>
            </w:r>
          </w:p>
          <w:p>
            <w:pPr>
              <w:autoSpaceDE w:val="0"/>
              <w:autoSpaceDN w:val="0"/>
              <w:adjustRightInd w:val="0"/>
              <w:spacing w:line="320" w:lineRule="exact"/>
              <w:ind w:firstLine="420" w:firstLineChars="200"/>
              <w:jc w:val="left"/>
              <w:rPr>
                <w:bCs/>
                <w:szCs w:val="21"/>
                <w:lang w:val="zh-CN"/>
              </w:rPr>
            </w:pPr>
            <w:r>
              <w:rPr>
                <w:bCs/>
                <w:szCs w:val="21"/>
                <w:lang w:val="zh-CN"/>
              </w:rPr>
              <w:t>(1</w:t>
            </w:r>
            <w:r>
              <w:rPr>
                <w:rFonts w:hint="eastAsia"/>
                <w:bCs/>
                <w:szCs w:val="21"/>
                <w:lang w:val="zh-CN"/>
              </w:rPr>
              <w:t>1</w:t>
            </w:r>
            <w:r>
              <w:rPr>
                <w:bCs/>
                <w:szCs w:val="21"/>
                <w:lang w:val="zh-CN"/>
              </w:rPr>
              <w:t>)投标文件</w:t>
            </w:r>
            <w:r>
              <w:rPr>
                <w:rFonts w:ascii="宋体" w:hAnsi="宋体" w:cs="宋体"/>
                <w:kern w:val="0"/>
                <w:sz w:val="22"/>
              </w:rPr>
              <w:t>对</w:t>
            </w:r>
            <w:r>
              <w:rPr>
                <w:bCs/>
                <w:szCs w:val="21"/>
                <w:lang w:val="zh-CN"/>
              </w:rPr>
              <w:t>招标文件的实质性要求和条件作出响应。</w:t>
            </w:r>
          </w:p>
          <w:p>
            <w:pPr>
              <w:autoSpaceDE w:val="0"/>
              <w:autoSpaceDN w:val="0"/>
              <w:adjustRightInd w:val="0"/>
              <w:spacing w:line="320" w:lineRule="exact"/>
              <w:ind w:firstLine="420" w:firstLineChars="200"/>
              <w:jc w:val="left"/>
              <w:rPr>
                <w:bCs/>
                <w:szCs w:val="21"/>
                <w:lang w:val="zh-CN"/>
              </w:rPr>
            </w:pPr>
            <w:r>
              <w:rPr>
                <w:bCs/>
                <w:szCs w:val="21"/>
                <w:lang w:val="zh-CN"/>
              </w:rPr>
              <w:t>(1</w:t>
            </w:r>
            <w:r>
              <w:rPr>
                <w:rFonts w:hint="eastAsia"/>
                <w:bCs/>
                <w:szCs w:val="21"/>
                <w:lang w:val="zh-CN"/>
              </w:rPr>
              <w:t>2</w:t>
            </w:r>
            <w:r>
              <w:rPr>
                <w:bCs/>
                <w:szCs w:val="21"/>
                <w:lang w:val="zh-CN"/>
              </w:rPr>
              <w:t>)权利义务符合招标文件规定：</w:t>
            </w:r>
          </w:p>
          <w:p>
            <w:pPr>
              <w:autoSpaceDE w:val="0"/>
              <w:autoSpaceDN w:val="0"/>
              <w:adjustRightInd w:val="0"/>
              <w:spacing w:line="320" w:lineRule="exact"/>
              <w:ind w:firstLine="360"/>
              <w:jc w:val="left"/>
              <w:rPr>
                <w:bCs/>
                <w:szCs w:val="21"/>
                <w:lang w:val="zh-CN"/>
              </w:rPr>
            </w:pPr>
            <w:r>
              <w:rPr>
                <w:bCs/>
                <w:szCs w:val="21"/>
                <w:lang w:val="zh-CN"/>
              </w:rPr>
              <w:t>a.投标人应接受招标文件规定的风险划分原则，未提出新的风险划分办法；</w:t>
            </w:r>
          </w:p>
          <w:p>
            <w:pPr>
              <w:autoSpaceDE w:val="0"/>
              <w:autoSpaceDN w:val="0"/>
              <w:adjustRightInd w:val="0"/>
              <w:spacing w:line="320" w:lineRule="exact"/>
              <w:ind w:firstLine="360"/>
              <w:jc w:val="left"/>
              <w:rPr>
                <w:bCs/>
                <w:szCs w:val="21"/>
                <w:lang w:val="zh-CN"/>
              </w:rPr>
            </w:pPr>
            <w:r>
              <w:rPr>
                <w:bCs/>
                <w:szCs w:val="21"/>
                <w:lang w:val="zh-CN"/>
              </w:rPr>
              <w:t>b.投标人未增加发包人的责任范围、或减少投标人的义务；</w:t>
            </w:r>
          </w:p>
          <w:p>
            <w:pPr>
              <w:autoSpaceDE w:val="0"/>
              <w:autoSpaceDN w:val="0"/>
              <w:adjustRightInd w:val="0"/>
              <w:spacing w:line="320" w:lineRule="exact"/>
              <w:ind w:firstLine="360"/>
              <w:jc w:val="left"/>
              <w:rPr>
                <w:bCs/>
                <w:szCs w:val="21"/>
                <w:lang w:val="zh-CN"/>
              </w:rPr>
            </w:pPr>
            <w:r>
              <w:rPr>
                <w:bCs/>
                <w:szCs w:val="21"/>
                <w:lang w:val="zh-CN"/>
              </w:rPr>
              <w:t>c.投标人未提出不同的工程验收、计量、支付办法；</w:t>
            </w:r>
          </w:p>
          <w:p>
            <w:pPr>
              <w:autoSpaceDE w:val="0"/>
              <w:autoSpaceDN w:val="0"/>
              <w:adjustRightInd w:val="0"/>
              <w:spacing w:line="320" w:lineRule="exact"/>
              <w:ind w:firstLine="360"/>
              <w:jc w:val="left"/>
              <w:rPr>
                <w:bCs/>
                <w:szCs w:val="21"/>
                <w:lang w:val="zh-CN"/>
              </w:rPr>
            </w:pPr>
            <w:r>
              <w:rPr>
                <w:bCs/>
                <w:szCs w:val="21"/>
                <w:lang w:val="zh-CN"/>
              </w:rPr>
              <w:t>d.投标人对合同纠纷、事故处理办法未提出异议；</w:t>
            </w:r>
          </w:p>
          <w:p>
            <w:pPr>
              <w:autoSpaceDE w:val="0"/>
              <w:autoSpaceDN w:val="0"/>
              <w:adjustRightInd w:val="0"/>
              <w:spacing w:line="320" w:lineRule="exact"/>
              <w:ind w:firstLine="360"/>
              <w:jc w:val="left"/>
              <w:rPr>
                <w:bCs/>
                <w:szCs w:val="21"/>
                <w:lang w:val="zh-CN"/>
              </w:rPr>
            </w:pPr>
            <w:r>
              <w:rPr>
                <w:bCs/>
                <w:szCs w:val="21"/>
                <w:lang w:val="zh-CN"/>
              </w:rPr>
              <w:t>e.投标人在投标活动中无欺诈行为；</w:t>
            </w:r>
          </w:p>
          <w:p>
            <w:pPr>
              <w:autoSpaceDE w:val="0"/>
              <w:autoSpaceDN w:val="0"/>
              <w:adjustRightInd w:val="0"/>
              <w:spacing w:line="320" w:lineRule="exact"/>
              <w:ind w:firstLine="360"/>
              <w:jc w:val="left"/>
              <w:rPr>
                <w:bCs/>
                <w:szCs w:val="21"/>
                <w:lang w:val="zh-CN"/>
              </w:rPr>
            </w:pPr>
            <w:r>
              <w:rPr>
                <w:bCs/>
                <w:szCs w:val="21"/>
                <w:lang w:val="zh-CN"/>
              </w:rPr>
              <w:t>f.投标人未对合同条款有重要保留。</w:t>
            </w:r>
          </w:p>
          <w:p>
            <w:pPr>
              <w:autoSpaceDE w:val="0"/>
              <w:autoSpaceDN w:val="0"/>
              <w:adjustRightInd w:val="0"/>
              <w:spacing w:line="320" w:lineRule="exact"/>
              <w:ind w:firstLine="360"/>
              <w:jc w:val="left"/>
              <w:rPr>
                <w:rFonts w:eastAsia="黑体"/>
                <w:szCs w:val="21"/>
              </w:rPr>
            </w:pPr>
            <w:r>
              <w:rPr>
                <w:bCs/>
                <w:szCs w:val="21"/>
                <w:lang w:val="zh-CN"/>
              </w:rPr>
              <w:t>(1</w:t>
            </w:r>
            <w:r>
              <w:rPr>
                <w:rFonts w:hint="eastAsia"/>
                <w:bCs/>
                <w:szCs w:val="21"/>
                <w:lang w:val="zh-CN"/>
              </w:rPr>
              <w:t>3</w:t>
            </w:r>
            <w:r>
              <w:rPr>
                <w:bCs/>
                <w:szCs w:val="21"/>
                <w:lang w:val="zh-CN"/>
              </w:rPr>
              <w:t>)</w:t>
            </w:r>
            <w:r>
              <w:rPr>
                <w:rFonts w:ascii="宋体" w:hAnsi="宋体" w:cs="宋体"/>
                <w:color w:val="000000"/>
                <w:sz w:val="22"/>
                <w:lang w:val="zh-TW" w:eastAsia="zh-TW" w:bidi="zh-TW"/>
              </w:rPr>
              <w:t xml:space="preserve"> </w:t>
            </w:r>
            <w:r>
              <w:rPr>
                <w:bCs/>
                <w:szCs w:val="21"/>
                <w:lang w:val="zh-CN"/>
              </w:rPr>
              <w:t>投标文件正、副本份数符合招标文件第二章“投标人须知” 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eastAsia="黑体"/>
                <w:szCs w:val="21"/>
              </w:rPr>
            </w:pPr>
            <w:r>
              <w:rPr>
                <w:bCs/>
                <w:szCs w:val="21"/>
                <w:lang w:val="zh-CN"/>
              </w:rPr>
              <w:t>2.1.3</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jc w:val="center"/>
              <w:rPr>
                <w:bCs/>
                <w:szCs w:val="21"/>
                <w:lang w:val="zh-CN"/>
              </w:rPr>
            </w:pPr>
            <w:r>
              <w:rPr>
                <w:rFonts w:eastAsia="黑体"/>
                <w:szCs w:val="21"/>
              </w:rPr>
              <w:t>第二</w:t>
            </w:r>
            <w:r>
              <w:rPr>
                <w:rFonts w:hint="eastAsia" w:eastAsia="黑体"/>
                <w:szCs w:val="21"/>
              </w:rPr>
              <w:t>个</w:t>
            </w:r>
            <w:r>
              <w:rPr>
                <w:rFonts w:eastAsia="黑体"/>
                <w:szCs w:val="21"/>
              </w:rPr>
              <w:t>信封</w:t>
            </w:r>
          </w:p>
          <w:p>
            <w:pPr>
              <w:autoSpaceDE w:val="0"/>
              <w:autoSpaceDN w:val="0"/>
              <w:adjustRightInd w:val="0"/>
              <w:jc w:val="center"/>
              <w:rPr>
                <w:bCs/>
                <w:szCs w:val="21"/>
                <w:lang w:val="zh-CN"/>
              </w:rPr>
            </w:pPr>
            <w:r>
              <w:rPr>
                <w:bCs/>
                <w:szCs w:val="21"/>
                <w:lang w:val="zh-CN"/>
              </w:rPr>
              <w:t>形式评审</w:t>
            </w:r>
          </w:p>
          <w:p>
            <w:pPr>
              <w:autoSpaceDE w:val="0"/>
              <w:autoSpaceDN w:val="0"/>
              <w:adjustRightInd w:val="0"/>
              <w:jc w:val="center"/>
              <w:rPr>
                <w:bCs/>
                <w:szCs w:val="21"/>
                <w:lang w:val="zh-CN"/>
              </w:rPr>
            </w:pPr>
            <w:r>
              <w:rPr>
                <w:bCs/>
                <w:szCs w:val="21"/>
                <w:lang w:val="zh-CN"/>
              </w:rPr>
              <w:t>与响应性</w:t>
            </w:r>
          </w:p>
          <w:p>
            <w:pPr>
              <w:autoSpaceDE w:val="0"/>
              <w:autoSpaceDN w:val="0"/>
              <w:adjustRightInd w:val="0"/>
              <w:jc w:val="center"/>
              <w:rPr>
                <w:bCs/>
                <w:szCs w:val="21"/>
                <w:lang w:val="zh-CN"/>
              </w:rPr>
            </w:pPr>
            <w:r>
              <w:rPr>
                <w:bCs/>
                <w:szCs w:val="21"/>
                <w:lang w:val="zh-CN"/>
              </w:rPr>
              <w:t>评审标准</w:t>
            </w:r>
          </w:p>
        </w:tc>
        <w:tc>
          <w:tcPr>
            <w:tcW w:w="7159" w:type="dxa"/>
            <w:noWrap w:val="0"/>
            <w:vAlign w:val="center"/>
          </w:tcPr>
          <w:p>
            <w:pPr>
              <w:adjustRightInd w:val="0"/>
              <w:snapToGrid w:val="0"/>
              <w:spacing w:before="48" w:beforeLines="20" w:after="48" w:afterLines="20"/>
              <w:rPr>
                <w:rFonts w:eastAsia="黑体"/>
                <w:szCs w:val="21"/>
              </w:rPr>
            </w:pPr>
            <w:r>
              <w:rPr>
                <w:rFonts w:eastAsia="黑体"/>
                <w:szCs w:val="21"/>
              </w:rPr>
              <w:t>第二</w:t>
            </w:r>
            <w:r>
              <w:rPr>
                <w:rFonts w:hint="eastAsia" w:eastAsia="黑体"/>
                <w:szCs w:val="21"/>
              </w:rPr>
              <w:t>个</w:t>
            </w:r>
            <w:r>
              <w:rPr>
                <w:rFonts w:eastAsia="黑体"/>
                <w:szCs w:val="21"/>
              </w:rPr>
              <w:t>信封（</w:t>
            </w:r>
            <w:r>
              <w:rPr>
                <w:rFonts w:hint="eastAsia" w:eastAsia="黑体"/>
                <w:szCs w:val="21"/>
              </w:rPr>
              <w:t>报价文件</w:t>
            </w:r>
            <w:r>
              <w:rPr>
                <w:rFonts w:eastAsia="黑体"/>
                <w:szCs w:val="21"/>
              </w:rPr>
              <w:t>）</w:t>
            </w:r>
          </w:p>
          <w:p>
            <w:pPr>
              <w:adjustRightInd w:val="0"/>
              <w:snapToGrid w:val="0"/>
              <w:spacing w:before="48" w:beforeLines="20" w:after="48" w:afterLines="20"/>
              <w:ind w:firstLine="420" w:firstLineChars="200"/>
              <w:rPr>
                <w:szCs w:val="21"/>
              </w:rPr>
            </w:pPr>
            <w:r>
              <w:rPr>
                <w:szCs w:val="21"/>
              </w:rPr>
              <w:t>(1)</w:t>
            </w:r>
            <w:r>
              <w:rPr>
                <w:rFonts w:hint="eastAsia"/>
                <w:szCs w:val="21"/>
              </w:rPr>
              <w:t>投标文件按照招标文件规定的格式、内容填写、字迹清晰可辨：</w:t>
            </w:r>
          </w:p>
          <w:p>
            <w:pPr>
              <w:adjustRightInd w:val="0"/>
              <w:snapToGrid w:val="0"/>
              <w:spacing w:before="48" w:beforeLines="20" w:after="48" w:afterLines="20"/>
              <w:ind w:firstLine="420" w:firstLineChars="200"/>
              <w:rPr>
                <w:szCs w:val="21"/>
              </w:rPr>
            </w:pPr>
            <w:r>
              <w:rPr>
                <w:rFonts w:hint="eastAsia"/>
                <w:szCs w:val="21"/>
              </w:rPr>
              <w:t>a．</w:t>
            </w:r>
            <w:r>
              <w:rPr>
                <w:szCs w:val="21"/>
              </w:rPr>
              <w:t>投标函按招标文件规定填报了项目名称、标段号、补遗书编号（如有)、投标价（包括大写金额和小写金额)；</w:t>
            </w:r>
          </w:p>
          <w:p>
            <w:pPr>
              <w:adjustRightInd w:val="0"/>
              <w:snapToGrid w:val="0"/>
              <w:spacing w:before="48" w:beforeLines="20" w:after="48" w:afterLines="20"/>
              <w:ind w:firstLine="420" w:firstLineChars="200"/>
              <w:rPr>
                <w:szCs w:val="21"/>
              </w:rPr>
            </w:pPr>
            <w:r>
              <w:rPr>
                <w:rFonts w:hint="eastAsia"/>
                <w:szCs w:val="21"/>
              </w:rPr>
              <w:t>b．</w:t>
            </w:r>
            <w:r>
              <w:rPr>
                <w:szCs w:val="21"/>
              </w:rPr>
              <w:t>已标价工程量清单说明文字与招标文件规定一致，未进行实质性修改和删减；</w:t>
            </w:r>
          </w:p>
          <w:p>
            <w:pPr>
              <w:adjustRightInd w:val="0"/>
              <w:snapToGrid w:val="0"/>
              <w:spacing w:before="48" w:beforeLines="20" w:after="48" w:afterLines="20"/>
              <w:ind w:firstLine="420" w:firstLineChars="200"/>
              <w:rPr>
                <w:szCs w:val="21"/>
              </w:rPr>
            </w:pPr>
            <w:r>
              <w:rPr>
                <w:rFonts w:hint="eastAsia"/>
                <w:szCs w:val="21"/>
              </w:rPr>
              <w:t>c．</w:t>
            </w:r>
            <w:r>
              <w:rPr>
                <w:szCs w:val="21"/>
              </w:rPr>
              <w:t>投标文件组成齐全完整，内容均按规定填写。</w:t>
            </w:r>
          </w:p>
          <w:p>
            <w:pPr>
              <w:adjustRightInd w:val="0"/>
              <w:snapToGrid w:val="0"/>
              <w:spacing w:before="48" w:beforeLines="20" w:after="48" w:afterLines="20"/>
              <w:ind w:firstLine="420" w:firstLineChars="200"/>
              <w:rPr>
                <w:szCs w:val="21"/>
              </w:rPr>
            </w:pPr>
            <w:r>
              <w:rPr>
                <w:szCs w:val="21"/>
              </w:rPr>
              <w:t>(</w:t>
            </w:r>
            <w:r>
              <w:rPr>
                <w:rFonts w:hint="eastAsia"/>
                <w:szCs w:val="21"/>
              </w:rPr>
              <w:t>2</w:t>
            </w:r>
            <w:r>
              <w:rPr>
                <w:szCs w:val="21"/>
              </w:rPr>
              <w:t>)投标文件上法定代表人或其委托代理人的签字、投标人的单位章盖章齐全，符合招标文件规定。</w:t>
            </w:r>
          </w:p>
          <w:p>
            <w:pPr>
              <w:adjustRightInd w:val="0"/>
              <w:snapToGrid w:val="0"/>
              <w:spacing w:before="48" w:beforeLines="20" w:after="48" w:afterLines="20"/>
              <w:ind w:firstLine="420" w:firstLineChars="200"/>
              <w:rPr>
                <w:szCs w:val="21"/>
              </w:rPr>
            </w:pPr>
            <w:r>
              <w:rPr>
                <w:szCs w:val="21"/>
              </w:rPr>
              <w:t>(</w:t>
            </w:r>
            <w:r>
              <w:rPr>
                <w:rFonts w:hint="eastAsia"/>
                <w:szCs w:val="21"/>
              </w:rPr>
              <w:t>3</w:t>
            </w:r>
            <w:r>
              <w:rPr>
                <w:szCs w:val="21"/>
              </w:rPr>
              <w:t>)投标报价中的报价未超过招标文件设定的最高投标限价。</w:t>
            </w:r>
          </w:p>
          <w:p>
            <w:pPr>
              <w:adjustRightInd w:val="0"/>
              <w:snapToGrid w:val="0"/>
              <w:spacing w:before="48" w:beforeLines="20" w:after="48" w:afterLines="20"/>
              <w:ind w:firstLine="420" w:firstLineChars="200"/>
              <w:rPr>
                <w:szCs w:val="21"/>
              </w:rPr>
            </w:pPr>
            <w:r>
              <w:rPr>
                <w:szCs w:val="21"/>
              </w:rPr>
              <w:t>(</w:t>
            </w:r>
            <w:r>
              <w:rPr>
                <w:rFonts w:hint="eastAsia"/>
                <w:szCs w:val="21"/>
              </w:rPr>
              <w:t>4</w:t>
            </w:r>
            <w:r>
              <w:rPr>
                <w:szCs w:val="21"/>
              </w:rPr>
              <w:t>)投标报价中报价的大写金额能够确定具体数值。</w:t>
            </w:r>
          </w:p>
          <w:p>
            <w:pPr>
              <w:adjustRightInd w:val="0"/>
              <w:snapToGrid w:val="0"/>
              <w:spacing w:before="48" w:beforeLines="20" w:after="48" w:afterLines="20"/>
              <w:ind w:firstLine="420" w:firstLineChars="200"/>
              <w:rPr>
                <w:szCs w:val="21"/>
              </w:rPr>
            </w:pPr>
            <w:r>
              <w:rPr>
                <w:szCs w:val="21"/>
              </w:rPr>
              <w:t>(</w:t>
            </w:r>
            <w:r>
              <w:rPr>
                <w:rFonts w:hint="eastAsia"/>
                <w:szCs w:val="21"/>
              </w:rPr>
              <w:t>5</w:t>
            </w:r>
            <w:r>
              <w:rPr>
                <w:szCs w:val="21"/>
              </w:rPr>
              <w:t>)同一投标人未提交两个以上不同的投标报价，但招标文件要求提交备选投标的除外。</w:t>
            </w:r>
          </w:p>
          <w:p>
            <w:pPr>
              <w:adjustRightInd w:val="0"/>
              <w:snapToGrid w:val="0"/>
              <w:spacing w:before="48" w:beforeLines="20" w:after="48" w:afterLines="20"/>
              <w:ind w:firstLine="420" w:firstLineChars="200"/>
              <w:rPr>
                <w:szCs w:val="21"/>
              </w:rPr>
            </w:pPr>
            <w:r>
              <w:rPr>
                <w:szCs w:val="21"/>
              </w:rPr>
              <w:t>(</w:t>
            </w:r>
            <w:r>
              <w:rPr>
                <w:rFonts w:hint="eastAsia"/>
                <w:szCs w:val="21"/>
              </w:rPr>
              <w:t>6</w:t>
            </w:r>
            <w:r>
              <w:rPr>
                <w:szCs w:val="21"/>
              </w:rPr>
              <w:t>)投标人若填写工程量固化清单，填写完毕的工程量固化清单未对工程量固化清单电子文件中的数据、格式和运算定义进行修改；工程量固化清单中的投标报价和投标函大写金额报价一致。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48" w:beforeLines="20" w:after="48" w:afterLines="20"/>
              <w:ind w:firstLine="420" w:firstLineChars="200"/>
              <w:rPr>
                <w:rFonts w:eastAsia="黑体"/>
                <w:szCs w:val="21"/>
              </w:rPr>
            </w:pPr>
            <w:r>
              <w:rPr>
                <w:szCs w:val="21"/>
              </w:rPr>
              <w:t>(</w:t>
            </w:r>
            <w:r>
              <w:rPr>
                <w:rFonts w:hint="eastAsia"/>
                <w:szCs w:val="21"/>
              </w:rPr>
              <w:t>7</w:t>
            </w:r>
            <w:r>
              <w:rPr>
                <w:szCs w:val="21"/>
              </w:rPr>
              <w:t>)投标文件正、副本份数符合招标文件第二章“投标人须知”第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bCs/>
                <w:szCs w:val="21"/>
                <w:lang w:val="zh-CN"/>
              </w:rPr>
            </w:pPr>
            <w:r>
              <w:rPr>
                <w:bCs/>
                <w:szCs w:val="21"/>
                <w:lang w:val="zh-CN"/>
              </w:rPr>
              <w:t>2.1.2</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spacing w:line="400" w:lineRule="exact"/>
              <w:jc w:val="center"/>
              <w:rPr>
                <w:bCs/>
                <w:szCs w:val="21"/>
                <w:lang w:val="zh-CN"/>
              </w:rPr>
            </w:pPr>
            <w:r>
              <w:rPr>
                <w:rFonts w:eastAsia="黑体"/>
                <w:szCs w:val="21"/>
              </w:rPr>
              <w:t>第一</w:t>
            </w:r>
            <w:r>
              <w:rPr>
                <w:rFonts w:hint="eastAsia" w:eastAsia="黑体"/>
                <w:szCs w:val="21"/>
              </w:rPr>
              <w:t>个</w:t>
            </w:r>
            <w:r>
              <w:rPr>
                <w:rFonts w:eastAsia="黑体"/>
                <w:szCs w:val="21"/>
              </w:rPr>
              <w:t>信封</w:t>
            </w:r>
          </w:p>
          <w:p>
            <w:pPr>
              <w:autoSpaceDE w:val="0"/>
              <w:autoSpaceDN w:val="0"/>
              <w:adjustRightInd w:val="0"/>
              <w:spacing w:line="400" w:lineRule="exact"/>
              <w:jc w:val="center"/>
              <w:rPr>
                <w:bCs/>
                <w:szCs w:val="21"/>
                <w:lang w:val="zh-CN"/>
              </w:rPr>
            </w:pPr>
            <w:r>
              <w:rPr>
                <w:bCs/>
                <w:szCs w:val="21"/>
                <w:lang w:val="zh-CN"/>
              </w:rPr>
              <w:t>资格</w:t>
            </w:r>
          </w:p>
          <w:p>
            <w:pPr>
              <w:autoSpaceDE w:val="0"/>
              <w:autoSpaceDN w:val="0"/>
              <w:adjustRightInd w:val="0"/>
              <w:spacing w:line="400" w:lineRule="exact"/>
              <w:jc w:val="center"/>
              <w:rPr>
                <w:rFonts w:eastAsia="黑体"/>
                <w:szCs w:val="21"/>
              </w:rPr>
            </w:pPr>
            <w:r>
              <w:rPr>
                <w:bCs/>
                <w:szCs w:val="21"/>
                <w:lang w:val="zh-CN"/>
              </w:rPr>
              <w:t>评审标准</w:t>
            </w:r>
          </w:p>
        </w:tc>
        <w:tc>
          <w:tcPr>
            <w:tcW w:w="7159" w:type="dxa"/>
            <w:tcBorders>
              <w:bottom w:val="single" w:color="auto" w:sz="4" w:space="0"/>
            </w:tcBorders>
            <w:noWrap w:val="0"/>
            <w:vAlign w:val="center"/>
          </w:tcPr>
          <w:p>
            <w:pPr>
              <w:adjustRightInd w:val="0"/>
              <w:snapToGrid w:val="0"/>
              <w:spacing w:before="48" w:beforeLines="20" w:after="48" w:afterLines="20"/>
              <w:ind w:firstLine="420" w:firstLineChars="200"/>
              <w:rPr>
                <w:rFonts w:hint="eastAsia" w:ascii="宋体" w:hAnsi="宋体" w:eastAsia="宋体" w:cs="宋体"/>
                <w:szCs w:val="21"/>
              </w:rPr>
            </w:pPr>
            <w:r>
              <w:rPr>
                <w:rFonts w:hint="eastAsia" w:ascii="宋体" w:hAnsi="宋体" w:eastAsia="宋体" w:cs="宋体"/>
                <w:szCs w:val="21"/>
              </w:rPr>
              <w:t>(1)投标人具备有效的营业执照</w:t>
            </w:r>
            <w:r>
              <w:rPr>
                <w:rFonts w:hint="eastAsia" w:ascii="宋体" w:hAnsi="宋体" w:eastAsia="宋体" w:cs="宋体"/>
                <w:szCs w:val="21"/>
                <w:highlight w:val="none"/>
              </w:rPr>
              <w:t>、</w:t>
            </w:r>
            <w:r>
              <w:rPr>
                <w:rFonts w:hint="eastAsia" w:ascii="宋体" w:hAnsi="宋体" w:eastAsia="宋体" w:cs="宋体"/>
                <w:szCs w:val="21"/>
              </w:rPr>
              <w:t>基本账户开户许可证和公司出资情况工商查档证明或投标人在《国家企业信用信息公示系统》中相关出资信息的网页截图。</w:t>
            </w:r>
          </w:p>
          <w:p>
            <w:pPr>
              <w:adjustRightInd w:val="0"/>
              <w:snapToGrid w:val="0"/>
              <w:spacing w:before="48" w:beforeLines="20" w:after="48" w:afterLines="20"/>
              <w:ind w:firstLine="420" w:firstLineChars="200"/>
              <w:rPr>
                <w:szCs w:val="21"/>
              </w:rPr>
            </w:pPr>
            <w:r>
              <w:rPr>
                <w:szCs w:val="21"/>
              </w:rPr>
              <w:t>(</w:t>
            </w:r>
            <w:r>
              <w:rPr>
                <w:rFonts w:hint="eastAsia"/>
                <w:szCs w:val="21"/>
              </w:rPr>
              <w:t>2</w:t>
            </w:r>
            <w:r>
              <w:rPr>
                <w:szCs w:val="21"/>
              </w:rPr>
              <w:t>)投标人的财务状况符合招标文件规定。</w:t>
            </w:r>
          </w:p>
          <w:p>
            <w:pPr>
              <w:adjustRightInd w:val="0"/>
              <w:snapToGrid w:val="0"/>
              <w:spacing w:before="48" w:beforeLines="20" w:after="48" w:afterLines="20"/>
              <w:ind w:firstLine="420" w:firstLineChars="200"/>
              <w:rPr>
                <w:szCs w:val="21"/>
              </w:rPr>
            </w:pPr>
            <w:r>
              <w:rPr>
                <w:szCs w:val="21"/>
              </w:rPr>
              <w:t>(</w:t>
            </w:r>
            <w:r>
              <w:rPr>
                <w:rFonts w:hint="eastAsia"/>
                <w:szCs w:val="21"/>
              </w:rPr>
              <w:t>3</w:t>
            </w:r>
            <w:r>
              <w:rPr>
                <w:szCs w:val="21"/>
              </w:rPr>
              <w:t>)投标人的类似项目业绩符合招标文件规定。</w:t>
            </w:r>
          </w:p>
          <w:p>
            <w:pPr>
              <w:adjustRightInd w:val="0"/>
              <w:snapToGrid w:val="0"/>
              <w:spacing w:before="48" w:beforeLines="20" w:after="48" w:afterLines="20"/>
              <w:ind w:firstLine="420" w:firstLineChars="200"/>
              <w:rPr>
                <w:szCs w:val="21"/>
              </w:rPr>
            </w:pPr>
            <w:r>
              <w:rPr>
                <w:szCs w:val="21"/>
              </w:rPr>
              <w:t>(</w:t>
            </w:r>
            <w:r>
              <w:rPr>
                <w:rFonts w:hint="eastAsia"/>
                <w:szCs w:val="21"/>
              </w:rPr>
              <w:t>4</w:t>
            </w:r>
            <w:r>
              <w:rPr>
                <w:szCs w:val="21"/>
              </w:rPr>
              <w:t>)投标人的信誉符合招标文件规定。</w:t>
            </w:r>
          </w:p>
          <w:p>
            <w:pPr>
              <w:adjustRightInd w:val="0"/>
              <w:snapToGrid w:val="0"/>
              <w:spacing w:before="48" w:beforeLines="20" w:after="48" w:afterLines="20"/>
              <w:ind w:firstLine="420" w:firstLineChars="200"/>
              <w:rPr>
                <w:szCs w:val="21"/>
              </w:rPr>
            </w:pPr>
            <w:r>
              <w:rPr>
                <w:szCs w:val="21"/>
              </w:rPr>
              <w:t>(</w:t>
            </w:r>
            <w:r>
              <w:rPr>
                <w:rFonts w:hint="eastAsia"/>
                <w:szCs w:val="21"/>
              </w:rPr>
              <w:t>5</w:t>
            </w:r>
            <w:r>
              <w:rPr>
                <w:szCs w:val="21"/>
              </w:rPr>
              <w:t>)投标人的项目经理和项目总工资格</w:t>
            </w:r>
            <w:r>
              <w:rPr>
                <w:rFonts w:hint="eastAsia"/>
                <w:szCs w:val="21"/>
              </w:rPr>
              <w:t>在岗情况</w:t>
            </w:r>
            <w:r>
              <w:rPr>
                <w:szCs w:val="21"/>
              </w:rPr>
              <w:t>符合招标文件规定，且提供了满足招标文件要求的证明材料。</w:t>
            </w:r>
          </w:p>
          <w:p>
            <w:pPr>
              <w:adjustRightInd w:val="0"/>
              <w:snapToGrid w:val="0"/>
              <w:spacing w:before="48" w:beforeLines="20" w:after="48" w:afterLines="20"/>
              <w:ind w:firstLine="420" w:firstLineChars="200"/>
              <w:rPr>
                <w:szCs w:val="21"/>
              </w:rPr>
            </w:pPr>
            <w:r>
              <w:rPr>
                <w:szCs w:val="21"/>
              </w:rPr>
              <w:t>(</w:t>
            </w:r>
            <w:r>
              <w:rPr>
                <w:rFonts w:hint="eastAsia"/>
                <w:szCs w:val="21"/>
              </w:rPr>
              <w:t>6</w:t>
            </w:r>
            <w:r>
              <w:rPr>
                <w:szCs w:val="21"/>
              </w:rPr>
              <w:t>)投标人不存在第二章“投标人须知”第1.4.3项</w:t>
            </w:r>
            <w:r>
              <w:rPr>
                <w:rFonts w:hint="eastAsia"/>
                <w:szCs w:val="21"/>
              </w:rPr>
              <w:t>或1.4.4项</w:t>
            </w:r>
            <w:r>
              <w:rPr>
                <w:szCs w:val="21"/>
              </w:rPr>
              <w:t>规定的任何一种情形。</w:t>
            </w:r>
          </w:p>
          <w:p>
            <w:pPr>
              <w:adjustRightInd w:val="0"/>
              <w:snapToGrid w:val="0"/>
              <w:spacing w:before="48" w:beforeLines="20" w:after="48" w:afterLines="20"/>
              <w:ind w:firstLine="420" w:firstLineChars="200"/>
              <w:rPr>
                <w:rFonts w:eastAsia="黑体"/>
                <w:szCs w:val="21"/>
              </w:rPr>
            </w:pPr>
            <w:r>
              <w:rPr>
                <w:szCs w:val="21"/>
              </w:rPr>
              <w:t>(</w:t>
            </w:r>
            <w:r>
              <w:rPr>
                <w:rFonts w:hint="eastAsia"/>
                <w:szCs w:val="21"/>
                <w:lang w:val="en-US" w:eastAsia="zh-CN"/>
              </w:rPr>
              <w:t>7</w:t>
            </w:r>
            <w:r>
              <w:rPr>
                <w:szCs w:val="21"/>
              </w:rPr>
              <w:t>)</w:t>
            </w:r>
            <w:r>
              <w:rPr>
                <w:rFonts w:hint="eastAsia"/>
                <w:szCs w:val="21"/>
              </w:rPr>
              <w:t>投标人未</w:t>
            </w:r>
            <w:r>
              <w:rPr>
                <w:szCs w:val="21"/>
              </w:rPr>
              <w:t>以联合体形式参与投标</w:t>
            </w:r>
            <w:r>
              <w:rPr>
                <w:rFonts w:hint="eastAsia"/>
                <w:szCs w:val="21"/>
              </w:rPr>
              <w:t>。</w:t>
            </w:r>
          </w:p>
        </w:tc>
      </w:tr>
    </w:tbl>
    <w:p>
      <w:pPr>
        <w:rPr>
          <w:rFonts w:hint="eastAsia"/>
        </w:rPr>
      </w:pPr>
    </w:p>
    <w:p>
      <w:pPr>
        <w:rPr>
          <w:rFonts w:hint="eastAsia"/>
        </w:rPr>
      </w:pPr>
    </w:p>
    <w:p>
      <w:pPr>
        <w:rPr>
          <w:rFonts w:hint="eastAsia"/>
        </w:rPr>
      </w:pPr>
    </w:p>
    <w:p/>
    <w:p/>
    <w:p/>
    <w:p/>
    <w:p/>
    <w:p/>
    <w:p/>
    <w:p/>
    <w:p/>
    <w:p>
      <w:pPr>
        <w:rPr>
          <w:rFonts w:hint="eastAsia"/>
        </w:rPr>
      </w:pPr>
    </w:p>
    <w:p/>
    <w:p/>
    <w:p/>
    <w:p/>
    <w:p/>
    <w:p/>
    <w:p/>
    <w:p/>
    <w:p/>
    <w:p/>
    <w:p/>
    <w:p/>
    <w:p/>
    <w:p/>
    <w:p/>
    <w:p/>
    <w:p/>
    <w:p/>
    <w:p/>
    <w:tbl>
      <w:tblPr>
        <w:tblStyle w:val="8"/>
        <w:tblW w:w="0" w:type="auto"/>
        <w:tblInd w:w="0" w:type="dxa"/>
        <w:tblLayout w:type="fixed"/>
        <w:tblCellMar>
          <w:top w:w="0" w:type="dxa"/>
          <w:left w:w="108" w:type="dxa"/>
          <w:bottom w:w="0" w:type="dxa"/>
          <w:right w:w="108" w:type="dxa"/>
        </w:tblCellMar>
      </w:tblPr>
      <w:tblGrid>
        <w:gridCol w:w="2093"/>
        <w:gridCol w:w="1902"/>
        <w:gridCol w:w="5492"/>
      </w:tblGrid>
      <w:tr>
        <w:tblPrEx>
          <w:tblCellMar>
            <w:top w:w="0" w:type="dxa"/>
            <w:left w:w="108" w:type="dxa"/>
            <w:bottom w:w="0" w:type="dxa"/>
            <w:right w:w="108" w:type="dxa"/>
          </w:tblCellMar>
        </w:tblPrEx>
        <w:trPr>
          <w:tblHeader/>
        </w:trPr>
        <w:tc>
          <w:tcPr>
            <w:tcW w:w="209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bCs/>
                <w:szCs w:val="21"/>
                <w:lang w:val="zh-CN"/>
              </w:rPr>
            </w:pPr>
            <w:r>
              <w:rPr>
                <w:bCs/>
                <w:szCs w:val="21"/>
                <w:lang w:val="zh-CN"/>
              </w:rPr>
              <w:t>条款号</w:t>
            </w:r>
          </w:p>
        </w:tc>
        <w:tc>
          <w:tcPr>
            <w:tcW w:w="190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bCs/>
                <w:szCs w:val="21"/>
                <w:lang w:val="zh-CN"/>
              </w:rPr>
            </w:pPr>
            <w:r>
              <w:rPr>
                <w:bCs/>
                <w:szCs w:val="21"/>
                <w:lang w:val="zh-CN"/>
              </w:rPr>
              <w:t>条款内容</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bCs/>
                <w:szCs w:val="21"/>
                <w:lang w:val="zh-CN"/>
              </w:rPr>
            </w:pPr>
            <w:r>
              <w:rPr>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bCs/>
                <w:szCs w:val="21"/>
                <w:lang w:val="zh-CN"/>
              </w:rPr>
            </w:pPr>
            <w:r>
              <w:rPr>
                <w:bCs/>
                <w:szCs w:val="21"/>
                <w:lang w:val="zh-CN"/>
              </w:rPr>
              <w:t>2.2.1</w:t>
            </w:r>
          </w:p>
        </w:tc>
        <w:tc>
          <w:tcPr>
            <w:tcW w:w="19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36" w:beforeLines="15" w:after="36" w:afterLines="15" w:line="360" w:lineRule="exact"/>
              <w:jc w:val="center"/>
              <w:rPr>
                <w:szCs w:val="21"/>
              </w:rPr>
            </w:pPr>
            <w:r>
              <w:rPr>
                <w:szCs w:val="21"/>
              </w:rPr>
              <w:t>分值构成</w:t>
            </w:r>
          </w:p>
          <w:p>
            <w:pPr>
              <w:adjustRightInd w:val="0"/>
              <w:snapToGrid w:val="0"/>
              <w:spacing w:before="36" w:beforeLines="15" w:after="36" w:afterLines="15" w:line="360" w:lineRule="exact"/>
              <w:jc w:val="center"/>
              <w:rPr>
                <w:szCs w:val="21"/>
              </w:rPr>
            </w:pPr>
            <w:r>
              <w:rPr>
                <w:szCs w:val="21"/>
              </w:rPr>
              <w:t>（总分100分）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8" w:beforeLines="20" w:after="48" w:afterLines="20" w:line="360" w:lineRule="exact"/>
              <w:ind w:left="420" w:leftChars="200"/>
              <w:rPr>
                <w:rFonts w:ascii="黑体" w:hAnsi="黑体" w:eastAsia="黑体"/>
                <w:szCs w:val="21"/>
              </w:rPr>
            </w:pPr>
            <w:r>
              <w:rPr>
                <w:rFonts w:ascii="黑体" w:hAnsi="黑体" w:eastAsia="黑体"/>
                <w:szCs w:val="21"/>
              </w:rPr>
              <w:t>施工组织设计：4</w:t>
            </w:r>
            <w:r>
              <w:rPr>
                <w:rFonts w:hint="eastAsia" w:ascii="黑体" w:hAnsi="黑体" w:eastAsia="黑体"/>
                <w:szCs w:val="21"/>
              </w:rPr>
              <w:t>0</w:t>
            </w:r>
            <w:r>
              <w:rPr>
                <w:rFonts w:ascii="黑体" w:hAnsi="黑体" w:eastAsia="黑体"/>
                <w:szCs w:val="21"/>
              </w:rPr>
              <w:t>分</w:t>
            </w:r>
          </w:p>
          <w:p>
            <w:pPr>
              <w:adjustRightInd w:val="0"/>
              <w:snapToGrid w:val="0"/>
              <w:spacing w:before="48" w:beforeLines="20" w:after="48" w:afterLines="20" w:line="360" w:lineRule="exact"/>
              <w:ind w:left="420" w:leftChars="200"/>
              <w:rPr>
                <w:rFonts w:ascii="黑体" w:hAnsi="黑体" w:eastAsia="黑体"/>
                <w:szCs w:val="21"/>
              </w:rPr>
            </w:pPr>
            <w:r>
              <w:rPr>
                <w:rFonts w:hint="eastAsia" w:ascii="黑体" w:hAnsi="黑体" w:eastAsia="黑体"/>
                <w:szCs w:val="21"/>
              </w:rPr>
              <w:t>主要人员</w:t>
            </w:r>
            <w:r>
              <w:rPr>
                <w:rFonts w:ascii="黑体" w:hAnsi="黑体" w:eastAsia="黑体"/>
                <w:szCs w:val="21"/>
              </w:rPr>
              <w:t>：30分</w:t>
            </w:r>
          </w:p>
          <w:p>
            <w:pPr>
              <w:adjustRightInd w:val="0"/>
              <w:snapToGrid w:val="0"/>
              <w:spacing w:before="48" w:beforeLines="20" w:after="48" w:afterLines="20" w:line="360" w:lineRule="exact"/>
              <w:ind w:left="420" w:leftChars="200"/>
              <w:rPr>
                <w:rFonts w:ascii="黑体" w:hAnsi="黑体" w:eastAsia="黑体"/>
                <w:szCs w:val="21"/>
              </w:rPr>
            </w:pPr>
            <w:r>
              <w:rPr>
                <w:rFonts w:hint="eastAsia" w:ascii="黑体" w:hAnsi="黑体" w:eastAsia="黑体"/>
                <w:szCs w:val="21"/>
              </w:rPr>
              <w:t>其 他 因 素：</w:t>
            </w:r>
            <w:r>
              <w:rPr>
                <w:rFonts w:ascii="黑体" w:hAnsi="黑体" w:eastAsia="黑体"/>
                <w:szCs w:val="21"/>
              </w:rPr>
              <w:t>30</w:t>
            </w:r>
            <w:r>
              <w:rPr>
                <w:rFonts w:hint="eastAsia" w:ascii="黑体" w:hAnsi="黑体" w:eastAsia="黑体"/>
                <w:szCs w:val="21"/>
              </w:rPr>
              <w:t>分</w:t>
            </w:r>
          </w:p>
          <w:p>
            <w:pPr>
              <w:adjustRightInd w:val="0"/>
              <w:snapToGrid w:val="0"/>
              <w:spacing w:before="48" w:beforeLines="20" w:after="48" w:afterLines="20" w:line="360" w:lineRule="exact"/>
              <w:ind w:left="420" w:leftChars="200"/>
              <w:rPr>
                <w:szCs w:val="21"/>
              </w:rPr>
            </w:pPr>
            <w:r>
              <w:rPr>
                <w:rFonts w:ascii="黑体" w:hAnsi="黑体" w:eastAsia="黑体"/>
                <w:spacing w:val="157"/>
                <w:kern w:val="0"/>
                <w:szCs w:val="21"/>
              </w:rPr>
              <w:t>评标</w:t>
            </w:r>
            <w:r>
              <w:rPr>
                <w:rFonts w:ascii="黑体" w:hAnsi="黑体" w:eastAsia="黑体"/>
                <w:spacing w:val="1"/>
                <w:kern w:val="0"/>
                <w:szCs w:val="21"/>
              </w:rPr>
              <w:t>价</w:t>
            </w:r>
            <w:r>
              <w:rPr>
                <w:rFonts w:ascii="黑体" w:hAnsi="黑体" w:eastAsia="黑体"/>
                <w:szCs w:val="21"/>
              </w:rPr>
              <w:t>：</w:t>
            </w:r>
            <w:r>
              <w:rPr>
                <w:rFonts w:hint="eastAsia" w:ascii="黑体" w:hAnsi="黑体" w:eastAsia="黑体"/>
                <w:szCs w:val="21"/>
              </w:rPr>
              <w:t>0</w:t>
            </w:r>
            <w:r>
              <w:rPr>
                <w:rFonts w:ascii="黑体" w:hAnsi="黑体" w:eastAsia="黑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09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bCs/>
                <w:szCs w:val="21"/>
                <w:lang w:val="zh-CN"/>
              </w:rPr>
            </w:pPr>
            <w:r>
              <w:rPr>
                <w:bCs/>
                <w:szCs w:val="21"/>
                <w:lang w:val="zh-CN"/>
              </w:rPr>
              <w:t>2.2.3</w:t>
            </w:r>
          </w:p>
        </w:tc>
        <w:tc>
          <w:tcPr>
            <w:tcW w:w="190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bCs/>
                <w:szCs w:val="21"/>
                <w:lang w:val="zh-CN"/>
              </w:rPr>
            </w:pPr>
            <w:r>
              <w:rPr>
                <w:rFonts w:hint="eastAsia"/>
                <w:bCs/>
                <w:szCs w:val="21"/>
                <w:lang w:val="zh-CN"/>
              </w:rPr>
              <w:t>第二个信封详细评审标准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bCs/>
                <w:szCs w:val="21"/>
                <w:lang w:val="zh-CN"/>
              </w:rPr>
            </w:pPr>
            <w:r>
              <w:rPr>
                <w:rFonts w:hint="eastAsia"/>
                <w:b/>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09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bCs/>
                <w:szCs w:val="21"/>
                <w:lang w:val="zh-CN"/>
              </w:rPr>
            </w:pPr>
            <w:r>
              <w:rPr>
                <w:rFonts w:hint="eastAsia"/>
                <w:bCs/>
                <w:szCs w:val="21"/>
                <w:lang w:val="zh-CN"/>
              </w:rPr>
              <w:t>3.2.4</w:t>
            </w:r>
          </w:p>
        </w:tc>
        <w:tc>
          <w:tcPr>
            <w:tcW w:w="190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bCs/>
                <w:szCs w:val="21"/>
                <w:lang w:val="zh-CN"/>
              </w:rPr>
            </w:pPr>
            <w:r>
              <w:rPr>
                <w:rFonts w:hint="eastAsia"/>
                <w:bCs/>
                <w:szCs w:val="21"/>
                <w:lang w:val="zh-CN"/>
              </w:rPr>
              <w:t>通过第一个信封</w:t>
            </w:r>
          </w:p>
          <w:p>
            <w:pPr>
              <w:autoSpaceDE w:val="0"/>
              <w:autoSpaceDN w:val="0"/>
              <w:adjustRightInd w:val="0"/>
              <w:spacing w:line="360" w:lineRule="exact"/>
              <w:jc w:val="center"/>
              <w:rPr>
                <w:bCs/>
                <w:szCs w:val="21"/>
                <w:lang w:val="zh-CN"/>
              </w:rPr>
            </w:pPr>
            <w:r>
              <w:rPr>
                <w:rFonts w:hint="eastAsia"/>
                <w:bCs/>
                <w:szCs w:val="21"/>
                <w:lang w:val="zh-CN"/>
              </w:rPr>
              <w:t>详细评审的投标人数量</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szCs w:val="21"/>
              </w:rPr>
            </w:pPr>
            <w:r>
              <w:rPr>
                <w:rFonts w:hint="eastAsia"/>
                <w:szCs w:val="21"/>
              </w:rPr>
              <w:t>按照投标人的商务和技术得分由高到低排序，选择前</w:t>
            </w:r>
            <w:r>
              <w:rPr>
                <w:rFonts w:hint="eastAsia" w:ascii="黑体" w:hAnsi="黑体" w:eastAsia="黑体"/>
                <w:b/>
                <w:szCs w:val="21"/>
                <w:u w:val="single"/>
              </w:rPr>
              <w:t>3</w:t>
            </w:r>
            <w:r>
              <w:rPr>
                <w:rFonts w:hint="eastAsia"/>
                <w:szCs w:val="21"/>
              </w:rPr>
              <w:t>名通过详细评审。</w:t>
            </w:r>
          </w:p>
        </w:tc>
      </w:tr>
    </w:tbl>
    <w:p/>
    <w:p/>
    <w:p/>
    <w:p/>
    <w:p/>
    <w:p/>
    <w:p/>
    <w:p/>
    <w:p/>
    <w:p/>
    <w:p/>
    <w:p/>
    <w:p/>
    <w:p/>
    <w:p/>
    <w:p/>
    <w:p/>
    <w:p/>
    <w:p>
      <w:pPr>
        <w:rPr>
          <w:rFonts w:hint="eastAsia"/>
        </w:rPr>
      </w:pPr>
    </w:p>
    <w:p/>
    <w:p/>
    <w:p/>
    <w:p/>
    <w:p/>
    <w:p/>
    <w:p/>
    <w:p/>
    <w:p/>
    <w:p/>
    <w:tbl>
      <w:tblPr>
        <w:tblStyle w:val="8"/>
        <w:tblW w:w="967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968"/>
        <w:gridCol w:w="1125"/>
        <w:gridCol w:w="2328"/>
        <w:gridCol w:w="495"/>
        <w:gridCol w:w="716"/>
        <w:gridCol w:w="316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511" w:type="dxa"/>
            <w:gridSpan w:val="6"/>
            <w:tcBorders>
              <w:top w:val="single" w:color="auto" w:sz="6" w:space="0"/>
              <w:left w:val="single" w:color="auto" w:sz="6" w:space="0"/>
            </w:tcBorders>
            <w:noWrap w:val="0"/>
            <w:vAlign w:val="center"/>
          </w:tcPr>
          <w:p>
            <w:pPr>
              <w:adjustRightInd w:val="0"/>
              <w:snapToGrid w:val="0"/>
              <w:jc w:val="center"/>
              <w:rPr>
                <w:szCs w:val="21"/>
              </w:rPr>
            </w:pPr>
            <w:r>
              <w:rPr>
                <w:szCs w:val="21"/>
              </w:rPr>
              <w:t>评分因素与权重分值</w:t>
            </w:r>
            <w:r>
              <w:rPr>
                <w:rStyle w:val="11"/>
                <w:szCs w:val="21"/>
              </w:rPr>
              <w:footnoteReference w:id="1"/>
            </w:r>
          </w:p>
        </w:tc>
        <w:tc>
          <w:tcPr>
            <w:tcW w:w="3165" w:type="dxa"/>
            <w:vMerge w:val="restart"/>
            <w:tcBorders>
              <w:top w:val="single" w:color="auto" w:sz="6" w:space="0"/>
              <w:right w:val="single" w:color="auto" w:sz="6" w:space="0"/>
            </w:tcBorders>
            <w:noWrap w:val="0"/>
            <w:vAlign w:val="center"/>
          </w:tcPr>
          <w:p>
            <w:pPr>
              <w:adjustRightInd w:val="0"/>
              <w:snapToGrid w:val="0"/>
              <w:jc w:val="center"/>
              <w:rPr>
                <w:szCs w:val="21"/>
              </w:rPr>
            </w:pPr>
            <w:r>
              <w:rPr>
                <w:szCs w:val="21"/>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tcBorders>
              <w:left w:val="single" w:color="auto" w:sz="6" w:space="0"/>
            </w:tcBorders>
            <w:noWrap w:val="0"/>
            <w:vAlign w:val="center"/>
          </w:tcPr>
          <w:p>
            <w:pPr>
              <w:adjustRightInd w:val="0"/>
              <w:snapToGrid w:val="0"/>
              <w:jc w:val="center"/>
              <w:rPr>
                <w:szCs w:val="21"/>
              </w:rPr>
            </w:pPr>
            <w:r>
              <w:rPr>
                <w:szCs w:val="21"/>
              </w:rPr>
              <w:t>条款号</w:t>
            </w:r>
          </w:p>
        </w:tc>
        <w:tc>
          <w:tcPr>
            <w:tcW w:w="968" w:type="dxa"/>
            <w:noWrap w:val="0"/>
            <w:vAlign w:val="center"/>
          </w:tcPr>
          <w:p>
            <w:pPr>
              <w:adjustRightInd w:val="0"/>
              <w:snapToGrid w:val="0"/>
              <w:jc w:val="center"/>
              <w:rPr>
                <w:szCs w:val="21"/>
              </w:rPr>
            </w:pPr>
            <w:r>
              <w:rPr>
                <w:szCs w:val="21"/>
              </w:rPr>
              <w:t>评分</w:t>
            </w:r>
            <w:r>
              <w:rPr>
                <w:szCs w:val="21"/>
              </w:rPr>
              <w:br w:type="textWrapping"/>
            </w:r>
            <w:r>
              <w:rPr>
                <w:szCs w:val="21"/>
              </w:rPr>
              <w:t>因素</w:t>
            </w:r>
          </w:p>
        </w:tc>
        <w:tc>
          <w:tcPr>
            <w:tcW w:w="1125" w:type="dxa"/>
            <w:noWrap w:val="0"/>
            <w:vAlign w:val="center"/>
          </w:tcPr>
          <w:p>
            <w:pPr>
              <w:adjustRightInd w:val="0"/>
              <w:snapToGrid w:val="0"/>
              <w:jc w:val="center"/>
              <w:rPr>
                <w:szCs w:val="21"/>
              </w:rPr>
            </w:pPr>
            <w:r>
              <w:rPr>
                <w:szCs w:val="21"/>
              </w:rPr>
              <w:t>评分因素</w:t>
            </w:r>
            <w:r>
              <w:rPr>
                <w:szCs w:val="21"/>
              </w:rPr>
              <w:br w:type="textWrapping"/>
            </w:r>
            <w:r>
              <w:rPr>
                <w:szCs w:val="21"/>
              </w:rPr>
              <w:t>权重分值</w:t>
            </w:r>
          </w:p>
        </w:tc>
        <w:tc>
          <w:tcPr>
            <w:tcW w:w="2328" w:type="dxa"/>
            <w:noWrap w:val="0"/>
            <w:vAlign w:val="center"/>
          </w:tcPr>
          <w:p>
            <w:pPr>
              <w:adjustRightInd w:val="0"/>
              <w:snapToGrid w:val="0"/>
              <w:jc w:val="center"/>
              <w:rPr>
                <w:szCs w:val="21"/>
              </w:rPr>
            </w:pPr>
            <w:r>
              <w:rPr>
                <w:szCs w:val="21"/>
              </w:rPr>
              <w:t>各评分因素细分项</w:t>
            </w:r>
          </w:p>
        </w:tc>
        <w:tc>
          <w:tcPr>
            <w:tcW w:w="1211" w:type="dxa"/>
            <w:gridSpan w:val="2"/>
            <w:noWrap w:val="0"/>
            <w:vAlign w:val="center"/>
          </w:tcPr>
          <w:p>
            <w:pPr>
              <w:adjustRightInd w:val="0"/>
              <w:snapToGrid w:val="0"/>
              <w:jc w:val="center"/>
              <w:rPr>
                <w:szCs w:val="21"/>
              </w:rPr>
            </w:pPr>
            <w:r>
              <w:rPr>
                <w:szCs w:val="21"/>
              </w:rPr>
              <w:t>分值</w:t>
            </w:r>
          </w:p>
        </w:tc>
        <w:tc>
          <w:tcPr>
            <w:tcW w:w="3165" w:type="dxa"/>
            <w:vMerge w:val="continue"/>
            <w:tcBorders>
              <w:right w:val="single" w:color="auto" w:sz="6" w:space="0"/>
            </w:tcBorders>
            <w:noWrap w:val="0"/>
            <w:vAlign w:val="center"/>
          </w:tcPr>
          <w:p>
            <w:pPr>
              <w:adjustRightInd w:val="0"/>
              <w:snapToGrid w:val="0"/>
              <w:jc w:val="center"/>
              <w:rPr>
                <w:b/>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1" w:hRule="atLeast"/>
          <w:jc w:val="center"/>
        </w:trPr>
        <w:tc>
          <w:tcPr>
            <w:tcW w:w="879" w:type="dxa"/>
            <w:vMerge w:val="restart"/>
            <w:tcBorders>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（1）</w:t>
            </w:r>
          </w:p>
        </w:tc>
        <w:tc>
          <w:tcPr>
            <w:tcW w:w="968" w:type="dxa"/>
            <w:vMerge w:val="restart"/>
            <w:noWrap w:val="0"/>
            <w:vAlign w:val="center"/>
          </w:tcPr>
          <w:p>
            <w:pPr>
              <w:adjustRightInd w:val="0"/>
              <w:snapToGrid w:val="0"/>
              <w:spacing w:line="340" w:lineRule="exact"/>
              <w:jc w:val="center"/>
              <w:rPr>
                <w:szCs w:val="21"/>
              </w:rPr>
            </w:pPr>
            <w:r>
              <w:rPr>
                <w:szCs w:val="21"/>
              </w:rPr>
              <w:t>施工组织设计</w:t>
            </w:r>
          </w:p>
        </w:tc>
        <w:tc>
          <w:tcPr>
            <w:tcW w:w="1125" w:type="dxa"/>
            <w:vMerge w:val="restart"/>
            <w:noWrap w:val="0"/>
            <w:vAlign w:val="center"/>
          </w:tcPr>
          <w:p>
            <w:pPr>
              <w:adjustRightInd w:val="0"/>
              <w:snapToGrid w:val="0"/>
              <w:spacing w:line="340" w:lineRule="exact"/>
              <w:jc w:val="center"/>
              <w:rPr>
                <w:sz w:val="24"/>
              </w:rPr>
            </w:pPr>
            <w:r>
              <w:rPr>
                <w:rFonts w:hint="eastAsia"/>
                <w:sz w:val="24"/>
              </w:rPr>
              <w:t>40</w:t>
            </w:r>
            <w:r>
              <w:rPr>
                <w:sz w:val="24"/>
              </w:rPr>
              <w:t>分</w:t>
            </w:r>
          </w:p>
        </w:tc>
        <w:tc>
          <w:tcPr>
            <w:tcW w:w="2328" w:type="dxa"/>
            <w:vMerge w:val="restart"/>
            <w:noWrap w:val="0"/>
            <w:vAlign w:val="center"/>
          </w:tcPr>
          <w:p>
            <w:pPr>
              <w:rPr>
                <w:szCs w:val="21"/>
              </w:rPr>
            </w:pPr>
            <w:r>
              <w:rPr>
                <w:rFonts w:hint="eastAsia"/>
                <w:szCs w:val="21"/>
              </w:rPr>
              <w:t>总体施工组织布置及规划</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4" w:space="0"/>
              <w:right w:val="single" w:color="auto" w:sz="6" w:space="0"/>
            </w:tcBorders>
            <w:noWrap w:val="0"/>
            <w:vAlign w:val="center"/>
          </w:tcPr>
          <w:p>
            <w:pPr>
              <w:widowControl/>
              <w:jc w:val="left"/>
              <w:rPr>
                <w:szCs w:val="21"/>
              </w:rPr>
            </w:pPr>
            <w:r>
              <w:rPr>
                <w:rFonts w:hint="eastAsia"/>
                <w:szCs w:val="21"/>
              </w:rPr>
              <w:t>总</w:t>
            </w:r>
            <w:r>
              <w:rPr>
                <w:szCs w:val="21"/>
              </w:rPr>
              <w:t>体方案</w:t>
            </w:r>
            <w:r>
              <w:rPr>
                <w:rFonts w:hint="eastAsia"/>
                <w:szCs w:val="21"/>
              </w:rPr>
              <w:t>切</w:t>
            </w:r>
            <w:r>
              <w:rPr>
                <w:szCs w:val="21"/>
              </w:rPr>
              <w:t>实可行，对本项目</w:t>
            </w:r>
            <w:r>
              <w:rPr>
                <w:rFonts w:hint="eastAsia"/>
                <w:szCs w:val="21"/>
              </w:rPr>
              <w:t>具</w:t>
            </w:r>
            <w:r>
              <w:rPr>
                <w:szCs w:val="21"/>
              </w:rPr>
              <w:t xml:space="preserve">有针对性。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rFonts w:hint="eastAsia"/>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rFonts w:hint="eastAsia"/>
                <w:szCs w:val="21"/>
              </w:rPr>
            </w:pPr>
          </w:p>
        </w:tc>
        <w:tc>
          <w:tcPr>
            <w:tcW w:w="716" w:type="dxa"/>
            <w:tcBorders>
              <w:left w:val="single" w:color="auto" w:sz="4" w:space="0"/>
              <w:bottom w:val="single" w:color="auto" w:sz="4"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4" w:space="0"/>
              <w:right w:val="single" w:color="auto" w:sz="6" w:space="0"/>
            </w:tcBorders>
            <w:noWrap w:val="0"/>
            <w:vAlign w:val="center"/>
          </w:tcPr>
          <w:p>
            <w:pPr>
              <w:snapToGrid w:val="0"/>
              <w:spacing w:line="340" w:lineRule="exact"/>
              <w:rPr>
                <w:rFonts w:hint="eastAsia"/>
                <w:szCs w:val="21"/>
              </w:rPr>
            </w:pPr>
            <w:r>
              <w:rPr>
                <w:szCs w:val="21"/>
              </w:rPr>
              <w:t>总体方案较满足要求</w:t>
            </w: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2"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4" w:space="0"/>
            </w:tcBorders>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tcBorders>
            <w:noWrap w:val="0"/>
            <w:vAlign w:val="center"/>
          </w:tcPr>
          <w:p>
            <w:pPr>
              <w:snapToGrid w:val="0"/>
              <w:spacing w:line="340" w:lineRule="exact"/>
              <w:jc w:val="center"/>
              <w:rPr>
                <w:szCs w:val="21"/>
              </w:rPr>
            </w:pPr>
            <w:r>
              <w:rPr>
                <w:rFonts w:hint="eastAsia"/>
                <w:szCs w:val="21"/>
              </w:rPr>
              <w:t>3</w:t>
            </w:r>
          </w:p>
        </w:tc>
        <w:tc>
          <w:tcPr>
            <w:tcW w:w="3165" w:type="dxa"/>
            <w:tcBorders>
              <w:top w:val="single" w:color="auto" w:sz="4" w:space="0"/>
              <w:right w:val="single" w:color="auto" w:sz="6" w:space="0"/>
            </w:tcBorders>
            <w:noWrap w:val="0"/>
            <w:vAlign w:val="center"/>
          </w:tcPr>
          <w:p>
            <w:pPr>
              <w:snapToGrid w:val="0"/>
              <w:spacing w:line="340" w:lineRule="exact"/>
              <w:rPr>
                <w:szCs w:val="21"/>
              </w:rPr>
            </w:pPr>
            <w:r>
              <w:rPr>
                <w:rFonts w:hint="eastAsia"/>
              </w:rPr>
              <w:t>总</w:t>
            </w:r>
            <w:r>
              <w:t>体方案</w:t>
            </w:r>
            <w:r>
              <w:rPr>
                <w:rFonts w:hint="eastAsia"/>
              </w:rPr>
              <w:t>基</w:t>
            </w:r>
            <w:r>
              <w:t>本满足</w:t>
            </w:r>
            <w:r>
              <w:rPr>
                <w:rFonts w:hint="eastAsia"/>
              </w:rPr>
              <w:t>要</w:t>
            </w:r>
            <w:r>
              <w:t>求</w:t>
            </w: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9"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tcBorders>
              <w:top w:val="single" w:color="auto" w:sz="4" w:space="0"/>
            </w:tcBorders>
            <w:noWrap w:val="0"/>
            <w:vAlign w:val="center"/>
          </w:tcPr>
          <w:p>
            <w:pPr>
              <w:rPr>
                <w:szCs w:val="21"/>
              </w:rPr>
            </w:pPr>
            <w:r>
              <w:rPr>
                <w:rFonts w:hint="eastAsia"/>
                <w:szCs w:val="21"/>
              </w:rPr>
              <w:t>主要工程项目的施工方案、方法与技术措施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right w:val="single" w:color="auto" w:sz="6" w:space="0"/>
            </w:tcBorders>
            <w:noWrap w:val="0"/>
            <w:vAlign w:val="center"/>
          </w:tcPr>
          <w:p>
            <w:pPr>
              <w:widowControl/>
              <w:jc w:val="left"/>
              <w:rPr>
                <w:szCs w:val="21"/>
              </w:rPr>
            </w:pPr>
            <w:r>
              <w:t>内容</w:t>
            </w:r>
            <w:r>
              <w:rPr>
                <w:rFonts w:hint="eastAsia"/>
              </w:rPr>
              <w:t>齐全</w:t>
            </w:r>
            <w:r>
              <w:t>、完</w:t>
            </w:r>
            <w:r>
              <w:rPr>
                <w:rFonts w:hint="eastAsia"/>
              </w:rPr>
              <w:t>善</w:t>
            </w:r>
            <w:r>
              <w:t>；</w:t>
            </w:r>
            <w:r>
              <w:rPr>
                <w:rFonts w:hint="eastAsia"/>
              </w:rPr>
              <w:t>工程保证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7"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top w:val="single" w:color="auto" w:sz="4" w:space="0"/>
            </w:tcBorders>
            <w:noWrap w:val="0"/>
            <w:vAlign w:val="center"/>
          </w:tcPr>
          <w:p>
            <w:pPr>
              <w:adjustRightInd w:val="0"/>
              <w:snapToGrid w:val="0"/>
              <w:spacing w:line="340" w:lineRule="exact"/>
              <w:jc w:val="center"/>
              <w:rPr>
                <w:rFonts w:hint="eastAsia"/>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right w:val="single" w:color="auto" w:sz="6" w:space="0"/>
            </w:tcBorders>
            <w:noWrap w:val="0"/>
            <w:vAlign w:val="center"/>
          </w:tcPr>
          <w:p>
            <w:pPr>
              <w:snapToGrid w:val="0"/>
              <w:spacing w:line="340" w:lineRule="exact"/>
              <w:rPr>
                <w:szCs w:val="21"/>
              </w:rPr>
            </w:pPr>
            <w:r>
              <w:t>内容较完整；方案与措施满足施工要求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内容完整；方案与措施基本满足施工要求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工期保证体系及保证措施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6" w:space="0"/>
              <w:right w:val="single" w:color="auto" w:sz="6" w:space="0"/>
            </w:tcBorders>
            <w:noWrap w:val="0"/>
            <w:vAlign w:val="center"/>
          </w:tcPr>
          <w:p>
            <w:pPr>
              <w:widowControl/>
              <w:jc w:val="left"/>
              <w:rPr>
                <w:szCs w:val="21"/>
              </w:rPr>
            </w:pPr>
            <w:r>
              <w:rPr>
                <w:rFonts w:hint="eastAsia"/>
              </w:rPr>
              <w:t>工期保证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工程质量管理体系及保证措施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6" w:space="0"/>
              <w:right w:val="single" w:color="auto" w:sz="6" w:space="0"/>
            </w:tcBorders>
            <w:noWrap w:val="0"/>
            <w:vAlign w:val="center"/>
          </w:tcPr>
          <w:p>
            <w:pPr>
              <w:widowControl/>
              <w:jc w:val="left"/>
              <w:rPr>
                <w:szCs w:val="21"/>
              </w:rPr>
            </w:pPr>
            <w:r>
              <w:rPr>
                <w:rFonts w:hint="eastAsia"/>
              </w:rPr>
              <w:t>工程质量管理</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安全生产管理体系及保证措施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6" w:space="0"/>
              <w:right w:val="single" w:color="auto" w:sz="6" w:space="0"/>
            </w:tcBorders>
            <w:noWrap w:val="0"/>
            <w:vAlign w:val="center"/>
          </w:tcPr>
          <w:p>
            <w:pPr>
              <w:widowControl/>
              <w:jc w:val="left"/>
              <w:rPr>
                <w:szCs w:val="21"/>
              </w:rPr>
            </w:pPr>
            <w:r>
              <w:rPr>
                <w:rFonts w:hint="eastAsia"/>
                <w:szCs w:val="21"/>
              </w:rPr>
              <w:t>安全生产管理</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环境保护、水土保持保证体系及保证措施。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6" w:space="0"/>
              <w:right w:val="single" w:color="auto" w:sz="6" w:space="0"/>
            </w:tcBorders>
            <w:noWrap w:val="0"/>
            <w:vAlign w:val="center"/>
          </w:tcPr>
          <w:p>
            <w:pPr>
              <w:widowControl/>
              <w:jc w:val="left"/>
              <w:rPr>
                <w:szCs w:val="21"/>
              </w:rPr>
            </w:pPr>
            <w:r>
              <w:rPr>
                <w:rFonts w:hint="eastAsia"/>
                <w:szCs w:val="21"/>
              </w:rPr>
              <w:t>环境保护、水土保持</w:t>
            </w:r>
            <w:r>
              <w:rPr>
                <w:rFonts w:hint="eastAsia"/>
              </w:rPr>
              <w:t>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文明施工、文物保护保证体系及保证措施。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6" w:space="0"/>
              <w:right w:val="single" w:color="auto" w:sz="6" w:space="0"/>
            </w:tcBorders>
            <w:noWrap w:val="0"/>
            <w:vAlign w:val="center"/>
          </w:tcPr>
          <w:p>
            <w:pPr>
              <w:widowControl/>
              <w:jc w:val="left"/>
              <w:rPr>
                <w:szCs w:val="21"/>
              </w:rPr>
            </w:pPr>
            <w:r>
              <w:rPr>
                <w:rFonts w:hint="eastAsia"/>
                <w:szCs w:val="21"/>
              </w:rPr>
              <w:t>文明施工、文物保护</w:t>
            </w:r>
            <w:r>
              <w:rPr>
                <w:rFonts w:hint="eastAsia"/>
              </w:rPr>
              <w:t>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7"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项目风险预测与防范，事故应急预案。</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color="auto" w:sz="6" w:space="0"/>
              <w:right w:val="single" w:color="auto" w:sz="6" w:space="0"/>
            </w:tcBorders>
            <w:noWrap w:val="0"/>
            <w:vAlign w:val="center"/>
          </w:tcPr>
          <w:p>
            <w:pPr>
              <w:widowControl/>
              <w:jc w:val="left"/>
              <w:rPr>
                <w:szCs w:val="21"/>
              </w:rPr>
            </w:pPr>
            <w:r>
              <w:rPr>
                <w:rFonts w:hint="eastAsia"/>
              </w:rPr>
              <w:t>项目风险预测与防范具体，预案具有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rFonts w:hint="eastAsia"/>
                <w:szCs w:val="21"/>
              </w:rPr>
            </w:pPr>
          </w:p>
        </w:tc>
        <w:tc>
          <w:tcPr>
            <w:tcW w:w="495" w:type="dxa"/>
            <w:vMerge w:val="continue"/>
            <w:tcBorders>
              <w:right w:val="single" w:color="auto" w:sz="4" w:space="0"/>
            </w:tcBorders>
            <w:noWrap w:val="0"/>
            <w:vAlign w:val="center"/>
          </w:tcPr>
          <w:p>
            <w:pPr>
              <w:snapToGrid w:val="0"/>
              <w:spacing w:line="340" w:lineRule="exact"/>
              <w:jc w:val="center"/>
              <w:rPr>
                <w:rFonts w:hint="eastAsia"/>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rPr>
                <w:rFonts w:hint="eastAsia"/>
              </w:rPr>
              <w:t>事故</w:t>
            </w:r>
            <w:r>
              <w:t>应急预案满足施工要求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szCs w:val="21"/>
              </w:rPr>
            </w:pPr>
          </w:p>
        </w:tc>
        <w:tc>
          <w:tcPr>
            <w:tcW w:w="96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1125" w:type="dxa"/>
            <w:vMerge w:val="continue"/>
            <w:tcBorders>
              <w:bottom w:val="single" w:color="auto" w:sz="6" w:space="0"/>
            </w:tcBorders>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szCs w:val="21"/>
              </w:rPr>
            </w:pPr>
            <w:r>
              <w:rPr>
                <w:rFonts w:hint="eastAsia"/>
                <w:szCs w:val="21"/>
              </w:rPr>
              <w:t>3</w:t>
            </w:r>
          </w:p>
        </w:tc>
        <w:tc>
          <w:tcPr>
            <w:tcW w:w="3165" w:type="dxa"/>
            <w:tcBorders>
              <w:bottom w:val="single" w:color="auto" w:sz="6" w:space="0"/>
              <w:right w:val="single" w:color="auto" w:sz="6" w:space="0"/>
            </w:tcBorders>
            <w:noWrap w:val="0"/>
            <w:vAlign w:val="center"/>
          </w:tcPr>
          <w:p>
            <w:pPr>
              <w:snapToGrid w:val="0"/>
              <w:spacing w:line="340" w:lineRule="exact"/>
              <w:rPr>
                <w:szCs w:val="21"/>
              </w:rPr>
            </w:pPr>
            <w:r>
              <w:rPr>
                <w:rFonts w:hint="eastAsia"/>
              </w:rPr>
              <w:t>事故</w:t>
            </w:r>
            <w:r>
              <w:t>应急预案基本满足施工要求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94" w:hRule="atLeast"/>
          <w:jc w:val="center"/>
        </w:trPr>
        <w:tc>
          <w:tcPr>
            <w:tcW w:w="879" w:type="dxa"/>
            <w:vMerge w:val="restart"/>
            <w:tcBorders>
              <w:top w:val="single" w:color="auto" w:sz="4" w:space="0"/>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（2）</w:t>
            </w:r>
          </w:p>
        </w:tc>
        <w:tc>
          <w:tcPr>
            <w:tcW w:w="968" w:type="dxa"/>
            <w:vMerge w:val="restart"/>
            <w:tcBorders>
              <w:top w:val="single" w:color="auto" w:sz="4" w:space="0"/>
            </w:tcBorders>
            <w:noWrap w:val="0"/>
            <w:vAlign w:val="center"/>
          </w:tcPr>
          <w:p>
            <w:pPr>
              <w:adjustRightInd w:val="0"/>
              <w:snapToGrid w:val="0"/>
              <w:spacing w:line="340" w:lineRule="exact"/>
              <w:jc w:val="center"/>
              <w:rPr>
                <w:szCs w:val="21"/>
              </w:rPr>
            </w:pPr>
            <w:r>
              <w:rPr>
                <w:rFonts w:hint="eastAsia"/>
                <w:szCs w:val="21"/>
              </w:rPr>
              <w:t>主要人员</w:t>
            </w:r>
          </w:p>
        </w:tc>
        <w:tc>
          <w:tcPr>
            <w:tcW w:w="1125" w:type="dxa"/>
            <w:vMerge w:val="restart"/>
            <w:tcBorders>
              <w:top w:val="single" w:color="auto" w:sz="4" w:space="0"/>
            </w:tcBorders>
            <w:noWrap w:val="0"/>
            <w:vAlign w:val="center"/>
          </w:tcPr>
          <w:p>
            <w:pPr>
              <w:adjustRightInd w:val="0"/>
              <w:snapToGrid w:val="0"/>
              <w:spacing w:line="340" w:lineRule="exact"/>
              <w:jc w:val="center"/>
              <w:rPr>
                <w:sz w:val="24"/>
              </w:rPr>
            </w:pPr>
            <w:r>
              <w:rPr>
                <w:rFonts w:hint="eastAsia"/>
                <w:sz w:val="24"/>
              </w:rPr>
              <w:t>30</w:t>
            </w:r>
            <w:r>
              <w:rPr>
                <w:sz w:val="24"/>
              </w:rPr>
              <w:t>分</w:t>
            </w:r>
          </w:p>
        </w:tc>
        <w:tc>
          <w:tcPr>
            <w:tcW w:w="2328" w:type="dxa"/>
            <w:vMerge w:val="restart"/>
            <w:tcBorders>
              <w:top w:val="single" w:color="auto" w:sz="4" w:space="0"/>
            </w:tcBorders>
            <w:noWrap w:val="0"/>
            <w:vAlign w:val="center"/>
          </w:tcPr>
          <w:p>
            <w:pPr>
              <w:adjustRightInd w:val="0"/>
              <w:snapToGrid w:val="0"/>
              <w:spacing w:line="340" w:lineRule="exact"/>
              <w:jc w:val="center"/>
              <w:rPr>
                <w:szCs w:val="21"/>
              </w:rPr>
            </w:pPr>
            <w:r>
              <w:rPr>
                <w:szCs w:val="21"/>
              </w:rPr>
              <w:t>项目经理任职资格</w:t>
            </w:r>
            <w:r>
              <w:rPr>
                <w:rFonts w:hint="eastAsia"/>
                <w:szCs w:val="21"/>
              </w:rPr>
              <w:t xml:space="preserve">    </w:t>
            </w:r>
            <w:r>
              <w:rPr>
                <w:szCs w:val="21"/>
              </w:rPr>
              <w:t>与业绩</w:t>
            </w:r>
          </w:p>
        </w:tc>
        <w:tc>
          <w:tcPr>
            <w:tcW w:w="495" w:type="dxa"/>
            <w:vMerge w:val="restart"/>
            <w:tcBorders>
              <w:top w:val="single" w:color="auto" w:sz="4" w:space="0"/>
              <w:right w:val="single" w:color="auto" w:sz="4" w:space="0"/>
            </w:tcBorders>
            <w:noWrap w:val="0"/>
            <w:vAlign w:val="center"/>
          </w:tcPr>
          <w:p>
            <w:pPr>
              <w:adjustRightInd w:val="0"/>
              <w:snapToGrid w:val="0"/>
              <w:spacing w:line="340" w:lineRule="exact"/>
              <w:jc w:val="center"/>
              <w:rPr>
                <w:szCs w:val="21"/>
              </w:rPr>
            </w:pPr>
            <w:r>
              <w:rPr>
                <w:rFonts w:hint="eastAsia"/>
                <w:szCs w:val="21"/>
              </w:rPr>
              <w:t>15</w:t>
            </w:r>
          </w:p>
        </w:tc>
        <w:tc>
          <w:tcPr>
            <w:tcW w:w="716" w:type="dxa"/>
            <w:tcBorders>
              <w:top w:val="single" w:color="auto" w:sz="4" w:space="0"/>
              <w:left w:val="single" w:color="auto" w:sz="4" w:space="0"/>
            </w:tcBorders>
            <w:noWrap w:val="0"/>
            <w:vAlign w:val="center"/>
          </w:tcPr>
          <w:p>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tcBorders>
              <w:top w:val="single" w:color="auto" w:sz="4" w:space="0"/>
              <w:right w:val="single" w:color="auto" w:sz="6" w:space="0"/>
            </w:tcBorders>
            <w:noWrap w:val="0"/>
            <w:vAlign w:val="center"/>
          </w:tcPr>
          <w:p>
            <w:pPr>
              <w:adjustRightInd w:val="0"/>
              <w:snapToGrid w:val="0"/>
              <w:spacing w:line="340" w:lineRule="exact"/>
              <w:jc w:val="left"/>
              <w:rPr>
                <w:sz w:val="18"/>
                <w:szCs w:val="18"/>
              </w:rPr>
            </w:pPr>
            <w:r>
              <w:rPr>
                <w:szCs w:val="21"/>
              </w:rPr>
              <w:t>在满足最低要求的基础上，每增加</w:t>
            </w:r>
            <w:r>
              <w:rPr>
                <w:rFonts w:hint="eastAsia"/>
                <w:szCs w:val="21"/>
              </w:rPr>
              <w:t>一项</w:t>
            </w:r>
            <w:r>
              <w:rPr>
                <w:rFonts w:hint="eastAsia" w:ascii="宋体" w:hAnsi="宋体" w:eastAsia="宋体" w:cs="宋体"/>
                <w:sz w:val="21"/>
                <w:szCs w:val="21"/>
                <w:lang w:eastAsia="zh-CN"/>
              </w:rPr>
              <w:t>园林绿化工程</w:t>
            </w:r>
            <w:r>
              <w:rPr>
                <w:rFonts w:hint="eastAsia"/>
                <w:szCs w:val="21"/>
              </w:rPr>
              <w:t>项目经理业绩加2</w:t>
            </w:r>
            <w:r>
              <w:rPr>
                <w:szCs w:val="21"/>
              </w:rPr>
              <w:t>分，最多加6分。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3"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top w:val="single" w:color="auto" w:sz="4" w:space="0"/>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adjustRightInd w:val="0"/>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adjustRightInd w:val="0"/>
              <w:snapToGrid w:val="0"/>
              <w:spacing w:line="340" w:lineRule="exact"/>
              <w:jc w:val="center"/>
              <w:rPr>
                <w:szCs w:val="21"/>
              </w:rPr>
            </w:pPr>
            <w:r>
              <w:rPr>
                <w:rFonts w:hint="eastAsia"/>
                <w:szCs w:val="21"/>
              </w:rPr>
              <w:t>9</w:t>
            </w:r>
          </w:p>
        </w:tc>
        <w:tc>
          <w:tcPr>
            <w:tcW w:w="3165" w:type="dxa"/>
            <w:tcBorders>
              <w:bottom w:val="single" w:color="auto" w:sz="6" w:space="0"/>
              <w:right w:val="single" w:color="auto" w:sz="6" w:space="0"/>
            </w:tcBorders>
            <w:noWrap w:val="0"/>
            <w:vAlign w:val="center"/>
          </w:tcPr>
          <w:p>
            <w:pPr>
              <w:adjustRightInd w:val="0"/>
              <w:snapToGrid w:val="0"/>
              <w:spacing w:line="340" w:lineRule="exact"/>
              <w:jc w:val="left"/>
              <w:rPr>
                <w:szCs w:val="21"/>
              </w:rPr>
            </w:pPr>
            <w:r>
              <w:rPr>
                <w:szCs w:val="21"/>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92"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tcBorders>
              <w:top w:val="single" w:color="auto" w:sz="6" w:space="0"/>
              <w:bottom w:val="single" w:color="auto" w:sz="6" w:space="0"/>
            </w:tcBorders>
            <w:noWrap w:val="0"/>
            <w:vAlign w:val="center"/>
          </w:tcPr>
          <w:p>
            <w:pPr>
              <w:adjustRightInd w:val="0"/>
              <w:snapToGrid w:val="0"/>
              <w:spacing w:line="340" w:lineRule="exact"/>
              <w:jc w:val="center"/>
              <w:rPr>
                <w:szCs w:val="21"/>
              </w:rPr>
            </w:pPr>
            <w:r>
              <w:rPr>
                <w:szCs w:val="21"/>
              </w:rPr>
              <w:t>项目总工任职资格</w:t>
            </w:r>
            <w:r>
              <w:rPr>
                <w:rFonts w:hint="eastAsia"/>
                <w:szCs w:val="21"/>
              </w:rPr>
              <w:t xml:space="preserve">    </w:t>
            </w:r>
            <w:r>
              <w:rPr>
                <w:szCs w:val="21"/>
              </w:rPr>
              <w:t>与业绩</w:t>
            </w:r>
          </w:p>
        </w:tc>
        <w:tc>
          <w:tcPr>
            <w:tcW w:w="495" w:type="dxa"/>
            <w:vMerge w:val="restart"/>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szCs w:val="21"/>
              </w:rPr>
            </w:pPr>
            <w:r>
              <w:rPr>
                <w:rFonts w:hint="eastAsia"/>
                <w:szCs w:val="21"/>
              </w:rPr>
              <w:t>15</w:t>
            </w:r>
          </w:p>
        </w:tc>
        <w:tc>
          <w:tcPr>
            <w:tcW w:w="716"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sz w:val="18"/>
                <w:szCs w:val="18"/>
              </w:rPr>
            </w:pPr>
            <w:r>
              <w:rPr>
                <w:szCs w:val="21"/>
              </w:rPr>
              <w:t>在满足最低要求的基础上，每增加</w:t>
            </w:r>
            <w:r>
              <w:rPr>
                <w:rFonts w:hint="eastAsia"/>
                <w:szCs w:val="21"/>
              </w:rPr>
              <w:t>一项</w:t>
            </w:r>
            <w:r>
              <w:rPr>
                <w:rFonts w:hint="eastAsia" w:ascii="宋体" w:hAnsi="宋体" w:eastAsia="宋体" w:cs="宋体"/>
                <w:sz w:val="21"/>
                <w:szCs w:val="21"/>
                <w:lang w:eastAsia="zh-CN"/>
              </w:rPr>
              <w:t>园林绿化工程</w:t>
            </w:r>
            <w:r>
              <w:rPr>
                <w:rFonts w:hint="eastAsia"/>
                <w:szCs w:val="21"/>
              </w:rPr>
              <w:t>总工业绩加2</w:t>
            </w:r>
            <w:r>
              <w:rPr>
                <w:szCs w:val="21"/>
              </w:rPr>
              <w:t>分，最多加6分</w:t>
            </w:r>
            <w:r>
              <w:rPr>
                <w:rFonts w:hint="eastAsia"/>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9" w:hRule="atLeast"/>
          <w:jc w:val="center"/>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szCs w:val="21"/>
              </w:rPr>
            </w:pPr>
          </w:p>
        </w:tc>
        <w:tc>
          <w:tcPr>
            <w:tcW w:w="96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1125" w:type="dxa"/>
            <w:vMerge w:val="continue"/>
            <w:tcBorders>
              <w:bottom w:val="single" w:color="auto" w:sz="6" w:space="0"/>
            </w:tcBorders>
            <w:noWrap w:val="0"/>
            <w:vAlign w:val="center"/>
          </w:tcPr>
          <w:p>
            <w:pPr>
              <w:adjustRightInd w:val="0"/>
              <w:snapToGrid w:val="0"/>
              <w:spacing w:line="340" w:lineRule="exact"/>
              <w:jc w:val="center"/>
              <w:rPr>
                <w:sz w:val="24"/>
              </w:rPr>
            </w:pPr>
          </w:p>
        </w:tc>
        <w:tc>
          <w:tcPr>
            <w:tcW w:w="2328" w:type="dxa"/>
            <w:vMerge w:val="continue"/>
            <w:tcBorders>
              <w:top w:val="single" w:color="auto" w:sz="6" w:space="0"/>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szCs w:val="21"/>
              </w:rPr>
            </w:pPr>
          </w:p>
        </w:tc>
        <w:tc>
          <w:tcPr>
            <w:tcW w:w="716"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szCs w:val="21"/>
              </w:rPr>
            </w:pPr>
            <w:r>
              <w:rPr>
                <w:rFonts w:hint="eastAsia"/>
                <w:szCs w:val="21"/>
              </w:rPr>
              <w:t>9</w:t>
            </w:r>
          </w:p>
        </w:tc>
        <w:tc>
          <w:tcPr>
            <w:tcW w:w="3165"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szCs w:val="21"/>
              </w:rPr>
            </w:pPr>
            <w:r>
              <w:rPr>
                <w:szCs w:val="21"/>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352" w:hRule="atLeast"/>
          <w:jc w:val="center"/>
        </w:trPr>
        <w:tc>
          <w:tcPr>
            <w:tcW w:w="879" w:type="dxa"/>
            <w:vMerge w:val="restart"/>
            <w:tcBorders>
              <w:top w:val="single" w:color="auto" w:sz="4" w:space="0"/>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w:t>
            </w:r>
            <w:r>
              <w:rPr>
                <w:rFonts w:hint="eastAsia"/>
                <w:szCs w:val="21"/>
              </w:rPr>
              <w:t>3</w:t>
            </w:r>
            <w:r>
              <w:rPr>
                <w:szCs w:val="21"/>
              </w:rPr>
              <w:t>）</w:t>
            </w:r>
          </w:p>
          <w:p>
            <w:pPr>
              <w:adjustRightInd w:val="0"/>
              <w:snapToGrid w:val="0"/>
              <w:spacing w:line="340" w:lineRule="exact"/>
              <w:jc w:val="center"/>
              <w:rPr>
                <w:szCs w:val="21"/>
              </w:rPr>
            </w:pPr>
          </w:p>
        </w:tc>
        <w:tc>
          <w:tcPr>
            <w:tcW w:w="968" w:type="dxa"/>
            <w:vMerge w:val="restart"/>
            <w:tcBorders>
              <w:top w:val="single" w:color="auto" w:sz="4" w:space="0"/>
            </w:tcBorders>
            <w:noWrap w:val="0"/>
            <w:vAlign w:val="center"/>
          </w:tcPr>
          <w:p>
            <w:pPr>
              <w:adjustRightInd w:val="0"/>
              <w:snapToGrid w:val="0"/>
              <w:spacing w:line="340" w:lineRule="exact"/>
              <w:jc w:val="center"/>
              <w:rPr>
                <w:rFonts w:hint="eastAsia" w:eastAsia="微软雅黑"/>
                <w:szCs w:val="21"/>
                <w:highlight w:val="none"/>
                <w:lang w:eastAsia="zh-CN"/>
              </w:rPr>
            </w:pPr>
            <w:r>
              <w:rPr>
                <w:rFonts w:hint="eastAsia" w:ascii="宋体" w:hAnsi="宋体" w:eastAsia="宋体" w:cs="宋体"/>
                <w:szCs w:val="21"/>
                <w:highlight w:val="none"/>
                <w:lang w:eastAsia="zh-CN"/>
              </w:rPr>
              <w:t>企业业绩</w:t>
            </w:r>
          </w:p>
        </w:tc>
        <w:tc>
          <w:tcPr>
            <w:tcW w:w="1125" w:type="dxa"/>
            <w:vMerge w:val="restart"/>
            <w:tcBorders>
              <w:top w:val="single" w:color="auto" w:sz="4" w:space="0"/>
              <w:bottom w:val="single" w:color="auto" w:sz="6" w:space="0"/>
            </w:tcBorders>
            <w:noWrap w:val="0"/>
            <w:vAlign w:val="center"/>
          </w:tcPr>
          <w:p>
            <w:pPr>
              <w:snapToGrid w:val="0"/>
              <w:spacing w:line="340" w:lineRule="exact"/>
              <w:jc w:val="center"/>
              <w:rPr>
                <w:rFonts w:hint="eastAsia"/>
                <w:sz w:val="24"/>
                <w:highlight w:val="none"/>
              </w:rPr>
            </w:pPr>
          </w:p>
          <w:p>
            <w:pPr>
              <w:snapToGrid w:val="0"/>
              <w:spacing w:line="340" w:lineRule="exact"/>
              <w:jc w:val="center"/>
              <w:rPr>
                <w:sz w:val="24"/>
                <w:highlight w:val="none"/>
              </w:rPr>
            </w:pPr>
            <w:r>
              <w:rPr>
                <w:rFonts w:hint="eastAsia"/>
                <w:sz w:val="24"/>
                <w:highlight w:val="none"/>
              </w:rPr>
              <w:t>15</w:t>
            </w:r>
            <w:r>
              <w:rPr>
                <w:sz w:val="24"/>
                <w:highlight w:val="none"/>
              </w:rPr>
              <w:t>分</w:t>
            </w:r>
          </w:p>
          <w:p>
            <w:pPr>
              <w:rPr>
                <w:sz w:val="24"/>
                <w:highlight w:val="none"/>
              </w:rPr>
            </w:pPr>
          </w:p>
        </w:tc>
        <w:tc>
          <w:tcPr>
            <w:tcW w:w="2328" w:type="dxa"/>
            <w:vMerge w:val="restart"/>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Cs w:val="21"/>
                <w:highlight w:val="none"/>
              </w:rPr>
              <w:t>投标人</w:t>
            </w:r>
            <w:r>
              <w:rPr>
                <w:rFonts w:hint="eastAsia" w:ascii="宋体" w:hAnsi="宋体" w:eastAsia="宋体" w:cs="宋体"/>
                <w:szCs w:val="21"/>
                <w:highlight w:val="none"/>
                <w:lang w:eastAsia="zh-CN"/>
              </w:rPr>
              <w:t>企业业绩</w:t>
            </w:r>
          </w:p>
        </w:tc>
        <w:tc>
          <w:tcPr>
            <w:tcW w:w="495" w:type="dxa"/>
            <w:vMerge w:val="restart"/>
            <w:tcBorders>
              <w:left w:val="single" w:color="auto" w:sz="4" w:space="0"/>
              <w:right w:val="single" w:color="auto" w:sz="4" w:space="0"/>
            </w:tcBorders>
            <w:noWrap w:val="0"/>
            <w:vAlign w:val="center"/>
          </w:tcPr>
          <w:p>
            <w:pPr>
              <w:adjustRightInd w:val="0"/>
              <w:snapToGrid w:val="0"/>
              <w:spacing w:line="340" w:lineRule="exact"/>
              <w:jc w:val="center"/>
              <w:rPr>
                <w:szCs w:val="21"/>
              </w:rPr>
            </w:pPr>
            <w:r>
              <w:rPr>
                <w:szCs w:val="21"/>
              </w:rPr>
              <w:t>1</w:t>
            </w:r>
            <w:r>
              <w:rPr>
                <w:rFonts w:hint="eastAsia"/>
                <w:szCs w:val="21"/>
              </w:rPr>
              <w:t>5</w:t>
            </w:r>
          </w:p>
        </w:tc>
        <w:tc>
          <w:tcPr>
            <w:tcW w:w="71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highlight w:val="yellow"/>
              </w:rPr>
            </w:pPr>
            <w:r>
              <w:t>在满足最低要求的基础上每增加</w:t>
            </w:r>
            <w:r>
              <w:rPr>
                <w:rFonts w:hint="eastAsia"/>
                <w:szCs w:val="21"/>
              </w:rPr>
              <w:t>一项</w:t>
            </w:r>
            <w:r>
              <w:rPr>
                <w:rFonts w:hint="eastAsia" w:ascii="宋体" w:hAnsi="宋体" w:eastAsia="宋体" w:cs="宋体"/>
                <w:sz w:val="21"/>
                <w:szCs w:val="21"/>
                <w:lang w:eastAsia="zh-CN"/>
              </w:rPr>
              <w:t>园林绿化工程</w:t>
            </w:r>
            <w:r>
              <w:rPr>
                <w:rFonts w:hint="eastAsia" w:ascii="宋体" w:hAnsi="宋体"/>
                <w:b w:val="0"/>
                <w:bCs/>
                <w:spacing w:val="1"/>
                <w:kern w:val="0"/>
                <w:szCs w:val="21"/>
              </w:rPr>
              <w:t>施工业绩</w:t>
            </w:r>
            <w:r>
              <w:rPr>
                <w:rFonts w:hint="eastAsia"/>
              </w:rPr>
              <w:t>加</w:t>
            </w:r>
            <w:r>
              <w:t>2分，最多加6分。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97"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tcBorders>
              <w:bottom w:val="single" w:color="auto" w:sz="4" w:space="0"/>
            </w:tcBorders>
            <w:noWrap w:val="0"/>
            <w:vAlign w:val="center"/>
          </w:tcPr>
          <w:p>
            <w:pPr>
              <w:adjustRightInd w:val="0"/>
              <w:snapToGrid w:val="0"/>
              <w:spacing w:line="340" w:lineRule="exact"/>
              <w:jc w:val="center"/>
              <w:rPr>
                <w:szCs w:val="21"/>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sz w:val="24"/>
              </w:rPr>
            </w:pPr>
          </w:p>
        </w:tc>
        <w:tc>
          <w:tcPr>
            <w:tcW w:w="2328" w:type="dxa"/>
            <w:vMerge w:val="continue"/>
            <w:tcBorders>
              <w:bottom w:val="single" w:color="auto" w:sz="4" w:space="0"/>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340" w:lineRule="exact"/>
              <w:jc w:val="center"/>
              <w:rPr>
                <w:szCs w:val="21"/>
              </w:rPr>
            </w:pPr>
          </w:p>
        </w:tc>
        <w:tc>
          <w:tcPr>
            <w:tcW w:w="71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szCs w:val="21"/>
              </w:rPr>
            </w:pPr>
            <w:r>
              <w:rPr>
                <w:rFonts w:hint="eastAsia"/>
                <w:szCs w:val="21"/>
              </w:rPr>
              <w:t>9</w:t>
            </w:r>
          </w:p>
        </w:tc>
        <w:tc>
          <w:tcPr>
            <w:tcW w:w="3165" w:type="dxa"/>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szCs w:val="21"/>
              </w:rPr>
            </w:pPr>
            <w:r>
              <w:rPr>
                <w:szCs w:val="21"/>
              </w:rPr>
              <w:t>满足</w:t>
            </w:r>
            <w:r>
              <w:rPr>
                <w:rFonts w:hint="eastAsia"/>
                <w:szCs w:val="21"/>
              </w:rPr>
              <w:t>业绩最</w:t>
            </w:r>
            <w:r>
              <w:rPr>
                <w:szCs w:val="21"/>
              </w:rPr>
              <w:t>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restart"/>
            <w:tcBorders>
              <w:top w:val="single" w:color="auto" w:sz="4" w:space="0"/>
            </w:tcBorders>
            <w:noWrap w:val="0"/>
            <w:vAlign w:val="center"/>
          </w:tcPr>
          <w:p>
            <w:pPr>
              <w:adjustRightInd w:val="0"/>
              <w:snapToGrid w:val="0"/>
              <w:spacing w:line="340" w:lineRule="exact"/>
              <w:ind w:left="113" w:right="113"/>
              <w:jc w:val="center"/>
              <w:rPr>
                <w:szCs w:val="21"/>
              </w:rPr>
            </w:pPr>
            <w:r>
              <w:rPr>
                <w:rFonts w:hint="eastAsia"/>
                <w:szCs w:val="21"/>
              </w:rPr>
              <w:t>信誉</w:t>
            </w:r>
          </w:p>
        </w:tc>
        <w:tc>
          <w:tcPr>
            <w:tcW w:w="1125" w:type="dxa"/>
            <w:vMerge w:val="restart"/>
            <w:tcBorders>
              <w:top w:val="single" w:color="auto" w:sz="6" w:space="0"/>
            </w:tcBorders>
            <w:noWrap w:val="0"/>
            <w:vAlign w:val="center"/>
          </w:tcPr>
          <w:p>
            <w:pPr>
              <w:adjustRightInd w:val="0"/>
              <w:snapToGrid w:val="0"/>
              <w:spacing w:line="340" w:lineRule="exact"/>
              <w:jc w:val="center"/>
              <w:rPr>
                <w:sz w:val="24"/>
                <w:szCs w:val="24"/>
              </w:rPr>
            </w:pPr>
            <w:r>
              <w:rPr>
                <w:rFonts w:hint="eastAsia"/>
                <w:sz w:val="24"/>
                <w:szCs w:val="24"/>
              </w:rPr>
              <w:t>15分</w:t>
            </w:r>
          </w:p>
        </w:tc>
        <w:tc>
          <w:tcPr>
            <w:tcW w:w="2328" w:type="dxa"/>
            <w:vMerge w:val="restart"/>
            <w:tcBorders>
              <w:top w:val="single" w:color="auto" w:sz="4" w:space="0"/>
              <w:right w:val="single" w:color="auto" w:sz="4" w:space="0"/>
            </w:tcBorders>
            <w:noWrap w:val="0"/>
            <w:vAlign w:val="center"/>
          </w:tcPr>
          <w:p>
            <w:pPr>
              <w:adjustRightInd w:val="0"/>
              <w:snapToGrid w:val="0"/>
              <w:spacing w:line="340" w:lineRule="exact"/>
              <w:jc w:val="left"/>
              <w:rPr>
                <w:szCs w:val="21"/>
              </w:rPr>
            </w:pPr>
            <w:r>
              <w:rPr>
                <w:rFonts w:hint="eastAsia"/>
              </w:rPr>
              <w:t>投标人的信誉评价等级</w:t>
            </w:r>
            <w:r>
              <w:rPr>
                <w:rStyle w:val="11"/>
              </w:rPr>
              <w:footnoteReference w:id="2"/>
            </w:r>
          </w:p>
        </w:tc>
        <w:tc>
          <w:tcPr>
            <w:tcW w:w="495" w:type="dxa"/>
            <w:vMerge w:val="restart"/>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szCs w:val="21"/>
              </w:rPr>
              <w:t>1</w:t>
            </w:r>
            <w:r>
              <w:rPr>
                <w:rFonts w:hint="eastAsia"/>
                <w:szCs w:val="21"/>
              </w:rPr>
              <w:t>5</w:t>
            </w:r>
          </w:p>
        </w:tc>
        <w:tc>
          <w:tcPr>
            <w:tcW w:w="716"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15</w:t>
            </w:r>
          </w:p>
        </w:tc>
        <w:tc>
          <w:tcPr>
            <w:tcW w:w="3165" w:type="dxa"/>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信誉等级AA得15分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13</w:t>
            </w:r>
          </w:p>
        </w:tc>
        <w:tc>
          <w:tcPr>
            <w:tcW w:w="3165" w:type="dxa"/>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信誉等级A得13分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11</w:t>
            </w:r>
          </w:p>
        </w:tc>
        <w:tc>
          <w:tcPr>
            <w:tcW w:w="3165" w:type="dxa"/>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无评价得11分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76"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9</w:t>
            </w:r>
          </w:p>
        </w:tc>
        <w:tc>
          <w:tcPr>
            <w:tcW w:w="3165"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信誉等级B得9分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52"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7</w:t>
            </w:r>
          </w:p>
        </w:tc>
        <w:tc>
          <w:tcPr>
            <w:tcW w:w="3165"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信誉等级C得7分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71"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0</w:t>
            </w:r>
          </w:p>
        </w:tc>
        <w:tc>
          <w:tcPr>
            <w:tcW w:w="3165" w:type="dxa"/>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信誉等级D得0分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tcBorders>
              <w:top w:val="single" w:color="auto" w:sz="4" w:space="0"/>
              <w:left w:val="single" w:color="auto" w:sz="6" w:space="0"/>
              <w:bottom w:val="single" w:color="auto" w:sz="4" w:space="0"/>
            </w:tcBorders>
            <w:noWrap w:val="0"/>
            <w:vAlign w:val="center"/>
          </w:tcPr>
          <w:p>
            <w:pPr>
              <w:adjustRightInd w:val="0"/>
              <w:snapToGrid w:val="0"/>
              <w:spacing w:line="340" w:lineRule="exact"/>
              <w:jc w:val="center"/>
              <w:rPr>
                <w:szCs w:val="21"/>
              </w:rPr>
            </w:pPr>
            <w:r>
              <w:rPr>
                <w:szCs w:val="21"/>
              </w:rPr>
              <w:t>2.2.4（4</w:t>
            </w:r>
            <w:r>
              <w:rPr>
                <w:rFonts w:hint="eastAsia"/>
                <w:szCs w:val="21"/>
              </w:rPr>
              <w:t>）</w:t>
            </w:r>
          </w:p>
        </w:tc>
        <w:tc>
          <w:tcPr>
            <w:tcW w:w="968" w:type="dxa"/>
            <w:tcBorders>
              <w:top w:val="single" w:color="auto" w:sz="4" w:space="0"/>
              <w:bottom w:val="single" w:color="auto" w:sz="4" w:space="0"/>
            </w:tcBorders>
            <w:noWrap w:val="0"/>
            <w:vAlign w:val="center"/>
          </w:tcPr>
          <w:p>
            <w:pPr>
              <w:adjustRightInd w:val="0"/>
              <w:snapToGrid w:val="0"/>
              <w:spacing w:line="340" w:lineRule="exact"/>
              <w:ind w:left="113" w:right="113"/>
              <w:jc w:val="center"/>
              <w:rPr>
                <w:szCs w:val="21"/>
              </w:rPr>
            </w:pPr>
            <w:r>
              <w:rPr>
                <w:rFonts w:hint="eastAsia"/>
                <w:szCs w:val="21"/>
              </w:rPr>
              <w:t>评标价</w:t>
            </w:r>
          </w:p>
        </w:tc>
        <w:tc>
          <w:tcPr>
            <w:tcW w:w="1125" w:type="dxa"/>
            <w:tcBorders>
              <w:top w:val="single" w:color="auto" w:sz="4" w:space="0"/>
              <w:bottom w:val="single" w:color="auto" w:sz="4" w:space="0"/>
            </w:tcBorders>
            <w:noWrap w:val="0"/>
            <w:vAlign w:val="center"/>
          </w:tcPr>
          <w:p>
            <w:pPr>
              <w:snapToGrid w:val="0"/>
              <w:spacing w:line="340" w:lineRule="exact"/>
              <w:ind w:left="113" w:right="113"/>
              <w:jc w:val="center"/>
              <w:rPr>
                <w:sz w:val="24"/>
              </w:rPr>
            </w:pPr>
            <w:r>
              <w:rPr>
                <w:rFonts w:hint="eastAsia"/>
                <w:sz w:val="24"/>
              </w:rPr>
              <w:t>0</w:t>
            </w:r>
            <w:r>
              <w:rPr>
                <w:sz w:val="24"/>
              </w:rPr>
              <w:t>分</w:t>
            </w:r>
          </w:p>
        </w:tc>
        <w:tc>
          <w:tcPr>
            <w:tcW w:w="2328" w:type="dxa"/>
            <w:tcBorders>
              <w:top w:val="single" w:color="auto" w:sz="4" w:space="0"/>
              <w:bottom w:val="single" w:color="auto" w:sz="4" w:space="0"/>
              <w:right w:val="single" w:color="auto" w:sz="4" w:space="0"/>
            </w:tcBorders>
            <w:noWrap w:val="0"/>
            <w:vAlign w:val="center"/>
          </w:tcPr>
          <w:p>
            <w:pPr>
              <w:adjustRightInd w:val="0"/>
              <w:snapToGrid w:val="0"/>
              <w:spacing w:line="340" w:lineRule="exact"/>
              <w:ind w:left="113" w:right="113"/>
              <w:rPr>
                <w:szCs w:val="21"/>
              </w:rPr>
            </w:pPr>
          </w:p>
        </w:tc>
        <w:tc>
          <w:tcPr>
            <w:tcW w:w="495"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jc w:val="center"/>
              <w:rPr>
                <w:szCs w:val="21"/>
              </w:rPr>
            </w:pPr>
          </w:p>
        </w:tc>
        <w:tc>
          <w:tcPr>
            <w:tcW w:w="716"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ind w:left="113" w:right="113"/>
              <w:jc w:val="center"/>
              <w:rPr>
                <w:szCs w:val="21"/>
              </w:rPr>
            </w:pPr>
          </w:p>
        </w:tc>
        <w:tc>
          <w:tcPr>
            <w:tcW w:w="3165" w:type="dxa"/>
            <w:tcBorders>
              <w:top w:val="single" w:color="auto" w:sz="6" w:space="0"/>
              <w:left w:val="single" w:color="auto" w:sz="4" w:space="0"/>
              <w:bottom w:val="single" w:color="auto" w:sz="6" w:space="0"/>
              <w:right w:val="single" w:color="auto" w:sz="6" w:space="0"/>
            </w:tcBorders>
            <w:noWrap w:val="0"/>
            <w:vAlign w:val="center"/>
          </w:tcPr>
          <w:p>
            <w:pPr>
              <w:adjustRightInd w:val="0"/>
              <w:snapToGrid w:val="0"/>
              <w:spacing w:line="340" w:lineRule="exact"/>
              <w:jc w:val="center"/>
              <w:rPr>
                <w:szCs w:val="21"/>
              </w:rPr>
            </w:pPr>
          </w:p>
        </w:tc>
      </w:tr>
    </w:tbl>
    <w:p>
      <w:pPr>
        <w:rPr>
          <w:rFonts w:hint="eastAsia" w:ascii="宋体" w:hAnsi="宋体"/>
          <w:sz w:val="24"/>
          <w:szCs w:val="24"/>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276"/>
        <w:gridCol w:w="7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7" w:hRule="atLeast"/>
          <w:jc w:val="center"/>
        </w:trPr>
        <w:tc>
          <w:tcPr>
            <w:tcW w:w="8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szCs w:val="21"/>
                <w:u w:val="wave"/>
              </w:rPr>
            </w:pPr>
            <w:r>
              <w:rPr>
                <w:szCs w:val="21"/>
              </w:rPr>
              <w:t>3.</w:t>
            </w:r>
            <w:r>
              <w:rPr>
                <w:rFonts w:hint="eastAsia"/>
                <w:szCs w:val="21"/>
              </w:rPr>
              <w:t>9</w:t>
            </w:r>
            <w:r>
              <w:rPr>
                <w:szCs w:val="21"/>
              </w:rPr>
              <w:t>.1</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szCs w:val="21"/>
              </w:rPr>
            </w:pPr>
            <w:r>
              <w:rPr>
                <w:szCs w:val="21"/>
              </w:rPr>
              <w:t>推荐</w:t>
            </w:r>
          </w:p>
          <w:p>
            <w:pPr>
              <w:adjustRightInd w:val="0"/>
              <w:snapToGrid w:val="0"/>
              <w:spacing w:before="100" w:beforeAutospacing="1" w:after="100" w:afterAutospacing="1"/>
              <w:jc w:val="center"/>
              <w:rPr>
                <w:szCs w:val="21"/>
              </w:rPr>
            </w:pPr>
            <w:r>
              <w:rPr>
                <w:szCs w:val="21"/>
              </w:rPr>
              <w:t>中标候选人</w:t>
            </w:r>
          </w:p>
        </w:tc>
        <w:tc>
          <w:tcPr>
            <w:tcW w:w="754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76" w:lineRule="auto"/>
              <w:ind w:firstLine="420" w:firstLineChars="200"/>
              <w:rPr>
                <w:bCs/>
                <w:szCs w:val="21"/>
                <w:lang w:val="zh-CN"/>
              </w:rPr>
            </w:pPr>
            <w:r>
              <w:rPr>
                <w:bCs/>
                <w:szCs w:val="21"/>
                <w:lang w:val="zh-CN"/>
              </w:rPr>
              <w:t>评标委员会</w:t>
            </w:r>
            <w:r>
              <w:rPr>
                <w:rFonts w:hint="eastAsia"/>
                <w:bCs/>
                <w:szCs w:val="21"/>
                <w:lang w:val="zh-CN"/>
              </w:rPr>
              <w:t>根据</w:t>
            </w:r>
            <w:r>
              <w:rPr>
                <w:bCs/>
                <w:szCs w:val="21"/>
                <w:lang w:val="zh-CN"/>
              </w:rPr>
              <w:t>评标办法按其评标价由</w:t>
            </w:r>
            <w:r>
              <w:rPr>
                <w:rFonts w:hint="eastAsia"/>
                <w:bCs/>
                <w:szCs w:val="21"/>
                <w:lang w:val="zh-CN"/>
              </w:rPr>
              <w:t>低</w:t>
            </w:r>
            <w:r>
              <w:rPr>
                <w:bCs/>
                <w:szCs w:val="21"/>
                <w:lang w:val="zh-CN"/>
              </w:rPr>
              <w:t>到</w:t>
            </w:r>
            <w:r>
              <w:rPr>
                <w:rFonts w:hint="eastAsia"/>
                <w:bCs/>
                <w:szCs w:val="21"/>
                <w:lang w:val="zh-CN"/>
              </w:rPr>
              <w:t>高</w:t>
            </w:r>
            <w:r>
              <w:rPr>
                <w:bCs/>
                <w:szCs w:val="21"/>
                <w:lang w:val="zh-CN"/>
              </w:rPr>
              <w:t>的顺序推荐中标候选人。</w:t>
            </w:r>
          </w:p>
          <w:p>
            <w:pPr>
              <w:adjustRightInd w:val="0"/>
              <w:snapToGrid w:val="0"/>
              <w:spacing w:before="36" w:beforeLines="15" w:after="36" w:afterLines="15" w:line="276" w:lineRule="auto"/>
              <w:ind w:firstLine="420" w:firstLineChars="200"/>
              <w:rPr>
                <w:szCs w:val="21"/>
              </w:rPr>
            </w:pPr>
            <w:r>
              <w:rPr>
                <w:rFonts w:hint="eastAsia"/>
                <w:szCs w:val="21"/>
              </w:rPr>
              <w:t>1、</w:t>
            </w:r>
            <w:r>
              <w:rPr>
                <w:szCs w:val="21"/>
              </w:rPr>
              <w:t>如同一标段出现多名投标人的</w:t>
            </w:r>
            <w:r>
              <w:rPr>
                <w:rFonts w:hint="eastAsia" w:hAnsi="宋体"/>
              </w:rPr>
              <w:t>评标</w:t>
            </w:r>
            <w:r>
              <w:rPr>
                <w:rFonts w:hAnsi="宋体"/>
              </w:rPr>
              <w:t>价相同，则以第一</w:t>
            </w:r>
            <w:r>
              <w:rPr>
                <w:rFonts w:hint="eastAsia" w:hAnsi="宋体"/>
              </w:rPr>
              <w:t>个</w:t>
            </w:r>
            <w:r>
              <w:rPr>
                <w:rFonts w:hAnsi="宋体"/>
              </w:rPr>
              <w:t>信封</w:t>
            </w:r>
            <w:r>
              <w:rPr>
                <w:rFonts w:hint="eastAsia" w:hAnsi="宋体"/>
              </w:rPr>
              <w:t>（商务及技术文件）得</w:t>
            </w:r>
            <w:r>
              <w:rPr>
                <w:rFonts w:hAnsi="宋体"/>
              </w:rPr>
              <w:t>分高者排序在先</w:t>
            </w:r>
            <w:r>
              <w:rPr>
                <w:rFonts w:hint="eastAsia" w:hAnsi="宋体"/>
              </w:rPr>
              <w:t>；</w:t>
            </w:r>
          </w:p>
          <w:p>
            <w:pPr>
              <w:autoSpaceDE w:val="0"/>
              <w:autoSpaceDN w:val="0"/>
              <w:adjustRightInd w:val="0"/>
              <w:spacing w:line="276" w:lineRule="auto"/>
              <w:ind w:firstLine="420" w:firstLineChars="200"/>
              <w:rPr>
                <w:szCs w:val="21"/>
              </w:rPr>
            </w:pPr>
            <w:r>
              <w:rPr>
                <w:rFonts w:hint="eastAsia"/>
                <w:szCs w:val="21"/>
              </w:rPr>
              <w:t>2、</w:t>
            </w:r>
            <w:r>
              <w:rPr>
                <w:szCs w:val="21"/>
              </w:rPr>
              <w:t>如同一标段出现多名投标人的</w:t>
            </w:r>
            <w:r>
              <w:rPr>
                <w:rFonts w:hint="eastAsia" w:hAnsi="宋体"/>
              </w:rPr>
              <w:t>第一个信封（商务及技术文件）</w:t>
            </w:r>
            <w:r>
              <w:rPr>
                <w:rFonts w:hint="eastAsia"/>
                <w:szCs w:val="21"/>
              </w:rPr>
              <w:t>综合得分</w:t>
            </w:r>
            <w:r>
              <w:rPr>
                <w:szCs w:val="21"/>
              </w:rPr>
              <w:t xml:space="preserve">相等时，则按照以下所列顺位在前的优先： </w:t>
            </w:r>
          </w:p>
          <w:p>
            <w:pPr>
              <w:adjustRightInd w:val="0"/>
              <w:snapToGrid w:val="0"/>
              <w:spacing w:before="48" w:beforeLines="20" w:after="48" w:afterLines="20" w:line="276" w:lineRule="auto"/>
              <w:ind w:firstLine="630" w:firstLineChars="300"/>
              <w:rPr>
                <w:rFonts w:ascii="宋体"/>
              </w:rPr>
            </w:pPr>
            <w:r>
              <w:rPr>
                <w:rFonts w:ascii="宋体" w:hAnsi="宋体"/>
              </w:rPr>
              <w:t>a</w:t>
            </w:r>
            <w:r>
              <w:rPr>
                <w:rFonts w:ascii="宋体"/>
              </w:rPr>
              <w:t>.</w:t>
            </w:r>
            <w:r>
              <w:rPr>
                <w:rFonts w:hint="eastAsia" w:ascii="宋体" w:hAnsi="宋体"/>
              </w:rPr>
              <w:t>施工组织设计得分较高者；</w:t>
            </w:r>
          </w:p>
          <w:p>
            <w:pPr>
              <w:adjustRightInd w:val="0"/>
              <w:snapToGrid w:val="0"/>
              <w:spacing w:before="48" w:beforeLines="20" w:after="48" w:afterLines="20" w:line="276" w:lineRule="auto"/>
              <w:ind w:firstLine="630" w:firstLineChars="300"/>
              <w:rPr>
                <w:rFonts w:ascii="宋体"/>
              </w:rPr>
            </w:pPr>
            <w:r>
              <w:rPr>
                <w:rFonts w:ascii="宋体" w:hAnsi="宋体"/>
              </w:rPr>
              <w:t>b</w:t>
            </w:r>
            <w:r>
              <w:rPr>
                <w:rFonts w:ascii="宋体"/>
              </w:rPr>
              <w:t>.</w:t>
            </w:r>
            <w:r>
              <w:rPr>
                <w:rFonts w:hint="eastAsia" w:ascii="宋体" w:hAnsi="宋体"/>
              </w:rPr>
              <w:t>主要人员得分较高者；</w:t>
            </w:r>
          </w:p>
          <w:p>
            <w:pPr>
              <w:adjustRightInd w:val="0"/>
              <w:snapToGrid w:val="0"/>
              <w:spacing w:before="48" w:beforeLines="20" w:after="48" w:afterLines="20" w:line="276" w:lineRule="auto"/>
              <w:ind w:firstLine="630" w:firstLineChars="300"/>
              <w:rPr>
                <w:rFonts w:ascii="宋体"/>
              </w:rPr>
            </w:pPr>
            <w:r>
              <w:rPr>
                <w:rFonts w:ascii="宋体" w:hAnsi="宋体"/>
              </w:rPr>
              <w:t>c</w:t>
            </w:r>
            <w:r>
              <w:rPr>
                <w:rFonts w:ascii="宋体"/>
              </w:rPr>
              <w:t>.</w:t>
            </w:r>
            <w:r>
              <w:rPr>
                <w:rFonts w:hint="eastAsia" w:ascii="宋体" w:hAnsi="宋体"/>
              </w:rPr>
              <w:t>履约信誉得分较高者；</w:t>
            </w:r>
          </w:p>
          <w:p>
            <w:pPr>
              <w:adjustRightInd w:val="0"/>
              <w:snapToGrid w:val="0"/>
              <w:spacing w:before="48" w:beforeLines="20" w:after="48" w:afterLines="20" w:line="276" w:lineRule="auto"/>
              <w:ind w:firstLine="630" w:firstLineChars="300"/>
              <w:rPr>
                <w:rFonts w:ascii="宋体"/>
              </w:rPr>
            </w:pPr>
            <w:r>
              <w:rPr>
                <w:rFonts w:ascii="宋体" w:hAnsi="宋体"/>
              </w:rPr>
              <w:t>d</w:t>
            </w:r>
            <w:r>
              <w:rPr>
                <w:rFonts w:ascii="宋体"/>
              </w:rPr>
              <w:t>.</w:t>
            </w:r>
            <w:r>
              <w:rPr>
                <w:rFonts w:hint="eastAsia" w:ascii="宋体" w:hAnsi="宋体"/>
              </w:rPr>
              <w:t>技术能力得分较高者。</w:t>
            </w:r>
          </w:p>
          <w:p>
            <w:pPr>
              <w:autoSpaceDE w:val="0"/>
              <w:autoSpaceDN w:val="0"/>
              <w:adjustRightInd w:val="0"/>
              <w:spacing w:line="276" w:lineRule="auto"/>
              <w:ind w:firstLine="420" w:firstLineChars="200"/>
              <w:rPr>
                <w:bCs/>
                <w:szCs w:val="21"/>
                <w:lang w:val="zh-CN"/>
              </w:rPr>
            </w:pPr>
            <w:r>
              <w:rPr>
                <w:szCs w:val="21"/>
              </w:rPr>
              <w:t>若以上各项评分因素得分都相等，则通过评委会投票表决，推荐票数多的投标人评分排序在先。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16" w:hRule="atLeast"/>
          <w:jc w:val="center"/>
        </w:trPr>
        <w:tc>
          <w:tcPr>
            <w:tcW w:w="9645" w:type="dxa"/>
            <w:gridSpan w:val="3"/>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bCs/>
                <w:szCs w:val="21"/>
                <w:lang w:val="zh-CN"/>
              </w:rPr>
            </w:pPr>
            <w:r>
              <w:rPr>
                <w:bCs/>
                <w:szCs w:val="21"/>
                <w:lang w:val="zh-CN"/>
              </w:rPr>
              <w:t>需要补充的其他内容： 无</w:t>
            </w:r>
          </w:p>
        </w:tc>
      </w:tr>
    </w:tbl>
    <w:p>
      <w:pPr>
        <w:keepNext/>
        <w:keepLines/>
        <w:spacing w:line="360" w:lineRule="auto"/>
        <w:outlineLvl w:val="2"/>
        <w:rPr>
          <w:b/>
          <w:bCs/>
          <w:sz w:val="28"/>
          <w:szCs w:val="28"/>
        </w:rPr>
      </w:pPr>
      <w:r>
        <w:rPr>
          <w:b/>
          <w:bCs/>
          <w:sz w:val="28"/>
          <w:szCs w:val="28"/>
        </w:rPr>
        <w:t xml:space="preserve">6. </w:t>
      </w:r>
      <w:r>
        <w:rPr>
          <w:rFonts w:hint="eastAsia" w:ascii="黑体" w:eastAsia="黑体"/>
          <w:b/>
          <w:bCs/>
          <w:sz w:val="28"/>
          <w:szCs w:val="28"/>
        </w:rPr>
        <w:t>公开时间</w:t>
      </w:r>
    </w:p>
    <w:p>
      <w:pPr>
        <w:adjustRightInd w:val="0"/>
        <w:snapToGrid w:val="0"/>
        <w:ind w:firstLine="480" w:firstLineChars="200"/>
        <w:rPr>
          <w:rFonts w:ascii="宋体"/>
          <w:sz w:val="24"/>
        </w:rPr>
      </w:pPr>
      <w:r>
        <w:rPr>
          <w:rFonts w:hint="eastAsia" w:ascii="宋体" w:hAnsi="宋体"/>
          <w:sz w:val="24"/>
        </w:rPr>
        <w:t>本次招标文件关键内容信息公开时间至</w:t>
      </w:r>
      <w:r>
        <w:rPr>
          <w:rFonts w:ascii="宋体" w:hAnsi="宋体"/>
          <w:sz w:val="24"/>
        </w:rPr>
        <w:t>20</w:t>
      </w:r>
      <w:r>
        <w:rPr>
          <w:rFonts w:hint="eastAsia" w:ascii="宋体" w:hAnsi="宋体"/>
          <w:sz w:val="24"/>
          <w:lang w:val="en-US" w:eastAsia="zh-CN"/>
        </w:rPr>
        <w:t>20</w:t>
      </w:r>
      <w:r>
        <w:rPr>
          <w:rFonts w:hint="eastAsia" w:ascii="宋体" w:hAnsi="宋体"/>
          <w:sz w:val="24"/>
        </w:rPr>
        <w:t>年0</w:t>
      </w:r>
      <w:r>
        <w:rPr>
          <w:rFonts w:hint="eastAsia" w:ascii="宋体" w:hAnsi="宋体"/>
          <w:sz w:val="24"/>
          <w:lang w:val="en-US" w:eastAsia="zh-CN"/>
        </w:rPr>
        <w:t>8</w:t>
      </w:r>
      <w:r>
        <w:rPr>
          <w:rFonts w:hint="eastAsia" w:ascii="宋体" w:hAnsi="宋体"/>
          <w:sz w:val="24"/>
        </w:rPr>
        <w:t>月</w:t>
      </w:r>
      <w:r>
        <w:rPr>
          <w:rFonts w:hint="eastAsia" w:ascii="宋体" w:hAnsi="宋体"/>
          <w:sz w:val="24"/>
          <w:lang w:val="en-US" w:eastAsia="zh-CN"/>
        </w:rPr>
        <w:t>10</w:t>
      </w:r>
      <w:r>
        <w:rPr>
          <w:rFonts w:hint="eastAsia" w:ascii="宋体" w:hAnsi="宋体"/>
          <w:sz w:val="24"/>
        </w:rPr>
        <w:t>日</w:t>
      </w:r>
      <w:r>
        <w:rPr>
          <w:rFonts w:ascii="宋体" w:hAnsi="宋体"/>
          <w:sz w:val="24"/>
        </w:rPr>
        <w:t>24</w:t>
      </w:r>
      <w:r>
        <w:rPr>
          <w:rFonts w:hint="eastAsia" w:ascii="宋体" w:hAnsi="宋体"/>
          <w:sz w:val="24"/>
        </w:rPr>
        <w:t>时</w:t>
      </w:r>
      <w:r>
        <w:rPr>
          <w:rFonts w:ascii="宋体"/>
          <w:sz w:val="24"/>
        </w:rPr>
        <w:t>00</w:t>
      </w:r>
      <w:r>
        <w:rPr>
          <w:rFonts w:hint="eastAsia" w:ascii="宋体" w:hAnsi="宋体"/>
          <w:sz w:val="24"/>
        </w:rPr>
        <w:t>分结束。</w:t>
      </w:r>
    </w:p>
    <w:p>
      <w:pPr>
        <w:keepNext/>
        <w:keepLines/>
        <w:spacing w:line="360" w:lineRule="auto"/>
        <w:outlineLvl w:val="2"/>
        <w:rPr>
          <w:b/>
          <w:bCs/>
          <w:sz w:val="28"/>
          <w:szCs w:val="28"/>
        </w:rPr>
      </w:pPr>
      <w:bookmarkStart w:id="32" w:name="_Toc257655333"/>
      <w:bookmarkStart w:id="33" w:name="_Toc444693693"/>
      <w:bookmarkStart w:id="34" w:name="_Toc356741794"/>
      <w:bookmarkStart w:id="35" w:name="_Toc361838108"/>
      <w:r>
        <w:rPr>
          <w:b/>
          <w:bCs/>
          <w:sz w:val="28"/>
          <w:szCs w:val="28"/>
        </w:rPr>
        <w:t>7.</w:t>
      </w:r>
      <w:r>
        <w:rPr>
          <w:rFonts w:hint="eastAsia"/>
          <w:b/>
          <w:bCs/>
          <w:sz w:val="28"/>
          <w:szCs w:val="28"/>
        </w:rPr>
        <w:t>联系方式</w:t>
      </w:r>
      <w:bookmarkEnd w:id="32"/>
      <w:bookmarkEnd w:id="33"/>
      <w:bookmarkEnd w:id="34"/>
      <w:bookmarkEnd w:id="35"/>
    </w:p>
    <w:tbl>
      <w:tblPr>
        <w:tblStyle w:val="8"/>
        <w:tblW w:w="9708" w:type="dxa"/>
        <w:tblInd w:w="0" w:type="dxa"/>
        <w:tblLayout w:type="fixed"/>
        <w:tblCellMar>
          <w:top w:w="0" w:type="dxa"/>
          <w:left w:w="108" w:type="dxa"/>
          <w:bottom w:w="0" w:type="dxa"/>
          <w:right w:w="108" w:type="dxa"/>
        </w:tblCellMar>
      </w:tblPr>
      <w:tblGrid>
        <w:gridCol w:w="4475"/>
        <w:gridCol w:w="5233"/>
      </w:tblGrid>
      <w:tr>
        <w:tblPrEx>
          <w:tblCellMar>
            <w:top w:w="0" w:type="dxa"/>
            <w:left w:w="108" w:type="dxa"/>
            <w:bottom w:w="0" w:type="dxa"/>
            <w:right w:w="108" w:type="dxa"/>
          </w:tblCellMar>
        </w:tblPrEx>
        <w:tc>
          <w:tcPr>
            <w:tcW w:w="4475" w:type="dxa"/>
          </w:tcPr>
          <w:p>
            <w:pPr>
              <w:autoSpaceDE w:val="0"/>
              <w:autoSpaceDN w:val="0"/>
              <w:adjustRightInd w:val="0"/>
              <w:spacing w:line="360" w:lineRule="auto"/>
              <w:jc w:val="left"/>
              <w:rPr>
                <w:rFonts w:ascii="宋体" w:hAnsi="宋体" w:cs="宋体"/>
                <w:color w:val="000000"/>
                <w:spacing w:val="1"/>
                <w:kern w:val="0"/>
                <w:szCs w:val="21"/>
              </w:rPr>
            </w:pPr>
            <w:r>
              <w:rPr>
                <w:rFonts w:hint="eastAsia" w:ascii="宋体" w:hAnsi="宋体" w:cs="宋体"/>
                <w:color w:val="000000"/>
                <w:spacing w:val="1"/>
                <w:kern w:val="0"/>
                <w:szCs w:val="21"/>
              </w:rPr>
              <w:t>招标人：白城市洮北区公路建设办公室</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招标代理机构</w:t>
            </w:r>
            <w:r>
              <w:rPr>
                <w:rFonts w:ascii="宋体" w:hAnsi="宋体" w:cs="宋体"/>
                <w:color w:val="000000"/>
                <w:spacing w:val="1"/>
                <w:kern w:val="0"/>
                <w:szCs w:val="21"/>
              </w:rPr>
              <w:t>：</w:t>
            </w:r>
            <w:r>
              <w:rPr>
                <w:rFonts w:hint="eastAsia" w:ascii="宋体" w:hAnsi="宋体" w:cs="宋体"/>
                <w:color w:val="000000"/>
                <w:spacing w:val="1"/>
                <w:kern w:val="0"/>
                <w:szCs w:val="21"/>
              </w:rPr>
              <w:t>吉林诚仪工程咨询有限公司</w:t>
            </w:r>
          </w:p>
        </w:tc>
      </w:tr>
      <w:tr>
        <w:tblPrEx>
          <w:tblCellMar>
            <w:top w:w="0" w:type="dxa"/>
            <w:left w:w="108" w:type="dxa"/>
            <w:bottom w:w="0" w:type="dxa"/>
            <w:right w:w="108" w:type="dxa"/>
          </w:tblCellMar>
        </w:tblPrEx>
        <w:tc>
          <w:tcPr>
            <w:tcW w:w="4475" w:type="dxa"/>
          </w:tcPr>
          <w:p>
            <w:pPr>
              <w:autoSpaceDE w:val="0"/>
              <w:autoSpaceDN w:val="0"/>
              <w:adjustRightInd w:val="0"/>
              <w:spacing w:line="360" w:lineRule="auto"/>
              <w:jc w:val="left"/>
              <w:rPr>
                <w:rFonts w:ascii="宋体" w:hAnsi="宋体" w:cs="宋体"/>
                <w:color w:val="000000"/>
                <w:spacing w:val="1"/>
                <w:kern w:val="0"/>
                <w:szCs w:val="21"/>
              </w:rPr>
            </w:pPr>
            <w:r>
              <w:rPr>
                <w:rFonts w:hint="eastAsia" w:ascii="宋体" w:hAnsi="宋体" w:cs="宋体"/>
                <w:color w:val="000000"/>
                <w:spacing w:val="1"/>
                <w:kern w:val="0"/>
                <w:szCs w:val="21"/>
              </w:rPr>
              <w:t>地  址：白城市明仁北街6号</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地 址</w:t>
            </w:r>
            <w:r>
              <w:rPr>
                <w:rFonts w:ascii="宋体" w:hAnsi="宋体" w:cs="宋体"/>
                <w:color w:val="000000"/>
                <w:spacing w:val="1"/>
                <w:kern w:val="0"/>
                <w:szCs w:val="21"/>
              </w:rPr>
              <w:t>：</w:t>
            </w:r>
            <w:r>
              <w:rPr>
                <w:rFonts w:hint="eastAsia" w:ascii="宋体" w:hAnsi="宋体" w:cs="宋体"/>
                <w:color w:val="000000"/>
                <w:spacing w:val="1"/>
                <w:kern w:val="0"/>
                <w:szCs w:val="21"/>
              </w:rPr>
              <w:t>白城市胜利西路269号</w:t>
            </w:r>
          </w:p>
        </w:tc>
      </w:tr>
      <w:tr>
        <w:tblPrEx>
          <w:tblCellMar>
            <w:top w:w="0" w:type="dxa"/>
            <w:left w:w="108" w:type="dxa"/>
            <w:bottom w:w="0" w:type="dxa"/>
            <w:right w:w="108" w:type="dxa"/>
          </w:tblCellMar>
        </w:tblPrEx>
        <w:tc>
          <w:tcPr>
            <w:tcW w:w="4475" w:type="dxa"/>
          </w:tcPr>
          <w:p>
            <w:pPr>
              <w:autoSpaceDE w:val="0"/>
              <w:autoSpaceDN w:val="0"/>
              <w:adjustRightInd w:val="0"/>
              <w:spacing w:line="360" w:lineRule="auto"/>
              <w:jc w:val="left"/>
              <w:rPr>
                <w:rFonts w:ascii="宋体" w:hAnsi="宋体" w:cs="宋体"/>
                <w:color w:val="000000"/>
                <w:spacing w:val="1"/>
                <w:kern w:val="0"/>
                <w:szCs w:val="21"/>
              </w:rPr>
            </w:pPr>
            <w:r>
              <w:rPr>
                <w:rFonts w:hint="eastAsia" w:ascii="宋体" w:hAnsi="宋体" w:cs="宋体"/>
                <w:color w:val="000000"/>
                <w:spacing w:val="1"/>
                <w:kern w:val="0"/>
                <w:szCs w:val="21"/>
              </w:rPr>
              <w:t>邮  编：137000</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邮 编</w:t>
            </w:r>
            <w:r>
              <w:rPr>
                <w:rFonts w:ascii="宋体" w:hAnsi="宋体" w:cs="宋体"/>
                <w:color w:val="000000"/>
                <w:spacing w:val="1"/>
                <w:kern w:val="0"/>
                <w:szCs w:val="21"/>
              </w:rPr>
              <w:t>：</w:t>
            </w:r>
            <w:r>
              <w:rPr>
                <w:rFonts w:hint="eastAsia" w:ascii="宋体" w:hAnsi="宋体" w:cs="宋体"/>
                <w:color w:val="000000"/>
                <w:spacing w:val="1"/>
                <w:kern w:val="0"/>
                <w:szCs w:val="21"/>
              </w:rPr>
              <w:t>137000</w:t>
            </w:r>
          </w:p>
        </w:tc>
      </w:tr>
      <w:tr>
        <w:tblPrEx>
          <w:tblCellMar>
            <w:top w:w="0" w:type="dxa"/>
            <w:left w:w="108" w:type="dxa"/>
            <w:bottom w:w="0" w:type="dxa"/>
            <w:right w:w="108" w:type="dxa"/>
          </w:tblCellMar>
        </w:tblPrEx>
        <w:tc>
          <w:tcPr>
            <w:tcW w:w="4475" w:type="dxa"/>
          </w:tcPr>
          <w:p>
            <w:pPr>
              <w:autoSpaceDE w:val="0"/>
              <w:autoSpaceDN w:val="0"/>
              <w:adjustRightInd w:val="0"/>
              <w:spacing w:line="360" w:lineRule="auto"/>
              <w:jc w:val="left"/>
              <w:rPr>
                <w:rFonts w:ascii="宋体" w:hAnsi="宋体" w:cs="宋体"/>
                <w:color w:val="000000"/>
                <w:spacing w:val="1"/>
                <w:kern w:val="0"/>
                <w:szCs w:val="21"/>
              </w:rPr>
            </w:pPr>
            <w:r>
              <w:rPr>
                <w:rFonts w:hint="eastAsia" w:ascii="宋体" w:hAnsi="宋体" w:cs="宋体"/>
                <w:color w:val="000000"/>
                <w:spacing w:val="1"/>
                <w:kern w:val="0"/>
                <w:szCs w:val="21"/>
              </w:rPr>
              <w:t>联系人：狄科长</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联系人</w:t>
            </w:r>
            <w:r>
              <w:rPr>
                <w:rFonts w:ascii="宋体" w:hAnsi="宋体" w:cs="宋体"/>
                <w:color w:val="000000"/>
                <w:spacing w:val="1"/>
                <w:kern w:val="0"/>
                <w:szCs w:val="21"/>
              </w:rPr>
              <w:t>：</w:t>
            </w:r>
            <w:r>
              <w:rPr>
                <w:rFonts w:hint="eastAsia" w:ascii="宋体" w:hAnsi="宋体" w:cs="宋体"/>
                <w:color w:val="000000"/>
                <w:spacing w:val="1"/>
                <w:kern w:val="0"/>
                <w:szCs w:val="21"/>
                <w:lang w:eastAsia="zh-CN"/>
              </w:rPr>
              <w:t>刘实</w:t>
            </w:r>
            <w:r>
              <w:rPr>
                <w:rFonts w:hint="eastAsia" w:ascii="宋体" w:hAnsi="宋体" w:cs="宋体"/>
                <w:color w:val="000000"/>
                <w:spacing w:val="1"/>
                <w:kern w:val="0"/>
                <w:szCs w:val="21"/>
              </w:rPr>
              <w:t xml:space="preserve">  </w:t>
            </w:r>
            <w:r>
              <w:rPr>
                <w:rFonts w:hint="eastAsia" w:ascii="宋体" w:hAnsi="宋体" w:cs="宋体"/>
                <w:color w:val="000000"/>
                <w:spacing w:val="1"/>
                <w:kern w:val="0"/>
                <w:szCs w:val="21"/>
                <w:lang w:eastAsia="zh-CN"/>
              </w:rPr>
              <w:t>贾可心</w:t>
            </w:r>
            <w:r>
              <w:rPr>
                <w:rFonts w:hint="eastAsia" w:ascii="宋体" w:hAnsi="宋体" w:cs="宋体"/>
                <w:color w:val="000000"/>
                <w:spacing w:val="1"/>
                <w:kern w:val="0"/>
                <w:szCs w:val="21"/>
              </w:rPr>
              <w:t xml:space="preserve"> </w:t>
            </w:r>
          </w:p>
        </w:tc>
      </w:tr>
      <w:tr>
        <w:tblPrEx>
          <w:tblCellMar>
            <w:top w:w="0" w:type="dxa"/>
            <w:left w:w="108" w:type="dxa"/>
            <w:bottom w:w="0" w:type="dxa"/>
            <w:right w:w="108" w:type="dxa"/>
          </w:tblCellMar>
        </w:tblPrEx>
        <w:tc>
          <w:tcPr>
            <w:tcW w:w="4475" w:type="dxa"/>
          </w:tcPr>
          <w:p>
            <w:pPr>
              <w:autoSpaceDE w:val="0"/>
              <w:autoSpaceDN w:val="0"/>
              <w:adjustRightInd w:val="0"/>
              <w:spacing w:line="360" w:lineRule="auto"/>
              <w:jc w:val="left"/>
              <w:rPr>
                <w:rFonts w:ascii="宋体" w:hAnsi="宋体" w:cs="宋体"/>
                <w:color w:val="000000"/>
                <w:spacing w:val="1"/>
                <w:kern w:val="0"/>
                <w:szCs w:val="21"/>
              </w:rPr>
            </w:pPr>
            <w:r>
              <w:rPr>
                <w:rFonts w:hint="eastAsia" w:ascii="宋体" w:hAnsi="宋体" w:cs="宋体"/>
                <w:color w:val="000000"/>
                <w:spacing w:val="1"/>
                <w:kern w:val="0"/>
                <w:szCs w:val="21"/>
              </w:rPr>
              <w:t>电  话： 0436-</w:t>
            </w:r>
            <w:r>
              <w:rPr>
                <w:rFonts w:ascii="宋体" w:hAnsi="宋体" w:cs="宋体"/>
                <w:color w:val="000000"/>
                <w:spacing w:val="1"/>
                <w:kern w:val="0"/>
                <w:szCs w:val="21"/>
              </w:rPr>
              <w:t>5891009</w:t>
            </w:r>
          </w:p>
        </w:tc>
        <w:tc>
          <w:tcPr>
            <w:tcW w:w="5233" w:type="dxa"/>
          </w:tcPr>
          <w:p>
            <w:pPr>
              <w:autoSpaceDE w:val="0"/>
              <w:autoSpaceDN w:val="0"/>
              <w:adjustRightInd w:val="0"/>
              <w:jc w:val="left"/>
              <w:rPr>
                <w:rFonts w:ascii="宋体" w:hAnsi="宋体" w:cs="宋体"/>
                <w:color w:val="000000"/>
                <w:spacing w:val="1"/>
                <w:kern w:val="0"/>
                <w:szCs w:val="21"/>
              </w:rPr>
            </w:pPr>
            <w:r>
              <w:rPr>
                <w:rFonts w:hint="eastAsia" w:ascii="宋体" w:hAnsi="宋体" w:cs="宋体"/>
                <w:color w:val="000000"/>
                <w:spacing w:val="1"/>
                <w:kern w:val="0"/>
                <w:szCs w:val="21"/>
              </w:rPr>
              <w:t xml:space="preserve">电话 </w:t>
            </w:r>
            <w:r>
              <w:rPr>
                <w:rFonts w:ascii="宋体" w:hAnsi="宋体" w:cs="宋体"/>
                <w:color w:val="000000"/>
                <w:spacing w:val="1"/>
                <w:kern w:val="0"/>
                <w:szCs w:val="21"/>
              </w:rPr>
              <w:t>：</w:t>
            </w:r>
            <w:r>
              <w:rPr>
                <w:rFonts w:hint="eastAsia" w:ascii="宋体" w:hAnsi="宋体" w:cs="宋体"/>
                <w:color w:val="000000"/>
                <w:spacing w:val="1"/>
                <w:kern w:val="0"/>
                <w:szCs w:val="21"/>
              </w:rPr>
              <w:t>0436-</w:t>
            </w:r>
            <w:r>
              <w:rPr>
                <w:rFonts w:hint="eastAsia" w:ascii="宋体" w:hAnsi="宋体" w:cs="宋体"/>
                <w:color w:val="000000"/>
                <w:spacing w:val="1"/>
                <w:kern w:val="0"/>
              </w:rPr>
              <w:t>3511790</w:t>
            </w:r>
          </w:p>
        </w:tc>
      </w:tr>
      <w:tr>
        <w:tblPrEx>
          <w:tblCellMar>
            <w:top w:w="0" w:type="dxa"/>
            <w:left w:w="108" w:type="dxa"/>
            <w:bottom w:w="0" w:type="dxa"/>
            <w:right w:w="108" w:type="dxa"/>
          </w:tblCellMar>
        </w:tblPrEx>
        <w:tc>
          <w:tcPr>
            <w:tcW w:w="4475" w:type="dxa"/>
          </w:tcPr>
          <w:p>
            <w:pPr>
              <w:autoSpaceDE w:val="0"/>
              <w:autoSpaceDN w:val="0"/>
              <w:adjustRightInd w:val="0"/>
              <w:jc w:val="left"/>
              <w:rPr>
                <w:rFonts w:ascii="宋体" w:hAnsi="宋体" w:cs="宋体"/>
                <w:color w:val="000000"/>
                <w:spacing w:val="1"/>
                <w:kern w:val="0"/>
              </w:rPr>
            </w:pPr>
            <w:r>
              <w:rPr>
                <w:rFonts w:hint="eastAsia" w:ascii="宋体" w:hAnsi="宋体" w:cs="宋体"/>
                <w:color w:val="000000"/>
                <w:spacing w:val="1"/>
                <w:szCs w:val="21"/>
              </w:rPr>
              <w:t>邮  箱:724718012@qq.com</w:t>
            </w:r>
          </w:p>
        </w:tc>
        <w:tc>
          <w:tcPr>
            <w:tcW w:w="5233" w:type="dxa"/>
          </w:tcPr>
          <w:p>
            <w:r>
              <w:rPr>
                <w:rFonts w:hint="eastAsia" w:ascii="宋体" w:hAnsi="宋体"/>
                <w:szCs w:val="21"/>
              </w:rPr>
              <w:t>邮  箱:</w:t>
            </w:r>
            <w:r>
              <w:t xml:space="preserve"> </w:t>
            </w:r>
            <w:r>
              <w:rPr>
                <w:rFonts w:ascii="宋体" w:hAnsi="宋体" w:cs="宋体"/>
                <w:color w:val="000000"/>
                <w:spacing w:val="1"/>
                <w:kern w:val="0"/>
                <w:szCs w:val="21"/>
              </w:rPr>
              <w:t>jlcyzbdl@163.com</w:t>
            </w:r>
          </w:p>
        </w:tc>
      </w:tr>
    </w:tbl>
    <w:p/>
    <w:sectPr>
      <w:footerReference r:id="rId4" w:type="default"/>
      <w:pgSz w:w="11906" w:h="16838"/>
      <w:pgMar w:top="851" w:right="1077"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PAGE   \* MERGEFORMAT</w:instrText>
    </w:r>
    <w:r>
      <w:fldChar w:fldCharType="separate"/>
    </w:r>
    <w:r>
      <w:rPr>
        <w:lang w:val="zh-CN"/>
      </w:rPr>
      <w:t>10</w:t>
    </w:r>
    <w:r>
      <w:rPr>
        <w:lang w:val="zh-CN"/>
      </w:rPr>
      <w:fldChar w:fldCharType="end"/>
    </w:r>
  </w:p>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6"/>
      </w:pPr>
      <w:r>
        <w:rPr>
          <w:rStyle w:val="11"/>
        </w:rPr>
        <w:footnoteRef/>
      </w:r>
      <w:r>
        <w:rPr>
          <w:rFonts w:hint="eastAsia" w:ascii="黑体" w:hAnsi="黑体" w:eastAsia="黑体"/>
        </w:rPr>
        <w:t>投标人经审计的</w:t>
      </w:r>
      <w:r>
        <w:rPr>
          <w:rFonts w:hint="eastAsia" w:ascii="黑体" w:hAnsi="黑体" w:eastAsia="黑体"/>
          <w:b/>
          <w:lang w:val="en-US" w:eastAsia="zh-CN"/>
        </w:rPr>
        <w:t>2019</w:t>
      </w:r>
      <w:r>
        <w:rPr>
          <w:rFonts w:hint="eastAsia" w:ascii="黑体" w:hAnsi="黑体" w:eastAsia="黑体"/>
          <w:b/>
        </w:rPr>
        <w:t>年</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1">
    <w:p>
      <w:pPr>
        <w:pStyle w:val="18"/>
        <w:shd w:val="clear" w:color="auto" w:fill="auto"/>
        <w:spacing w:before="0" w:line="319" w:lineRule="exact"/>
        <w:ind w:left="300"/>
        <w:jc w:val="both"/>
        <w:rPr>
          <w:highlight w:val="cyan"/>
        </w:rPr>
      </w:pPr>
      <w:r>
        <w:rPr>
          <w:rStyle w:val="11"/>
        </w:rPr>
        <w:footnoteRef/>
      </w:r>
      <w:r>
        <w:t xml:space="preserve"> </w:t>
      </w:r>
      <w:r>
        <w:rPr>
          <w:rFonts w:hint="eastAsia"/>
        </w:rPr>
        <w:t>招</w:t>
      </w:r>
      <w:r>
        <w:t>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 标委员会成员总数为七人以上时，该平均值以去掉一个最高分和一个最低分后计算。评标委员会成员对某一 项评分因素的评分低于权重分值60%的，应在评标报告中作出说明。</w:t>
      </w:r>
    </w:p>
    <w:p>
      <w:pPr>
        <w:pStyle w:val="6"/>
        <w:jc w:val="both"/>
        <w:rPr>
          <w:rFonts w:ascii="宋体" w:hAnsi="宋体"/>
          <w:lang w:eastAsia="zh-TW"/>
        </w:rPr>
      </w:pPr>
    </w:p>
  </w:footnote>
  <w:footnote w:id="2">
    <w:p>
      <w:pPr>
        <w:pStyle w:val="6"/>
        <w:rPr>
          <w:rFonts w:hint="eastAsia" w:ascii="宋体" w:hAnsi="宋体" w:eastAsia="宋体" w:cs="宋体"/>
        </w:rPr>
      </w:pPr>
      <w:r>
        <w:rPr>
          <w:rStyle w:val="11"/>
        </w:rPr>
        <w:footnoteRef/>
      </w:r>
      <w:r>
        <w:rPr>
          <w:rFonts w:hint="eastAsia" w:ascii="宋体" w:hAnsi="宋体" w:eastAsia="宋体" w:cs="宋体"/>
        </w:rPr>
        <w:t xml:space="preserve">a.投标人信用评价等级：指投标人吉林省信用评价等级或投标人全国信用评价等级。 </w:t>
      </w:r>
    </w:p>
    <w:p>
      <w:pPr>
        <w:pStyle w:val="6"/>
        <w:rPr>
          <w:rFonts w:hint="eastAsia" w:ascii="宋体" w:hAnsi="宋体" w:eastAsia="宋体" w:cs="宋体"/>
          <w:highlight w:val="none"/>
        </w:rPr>
      </w:pPr>
      <w:r>
        <w:rPr>
          <w:rFonts w:hint="eastAsia" w:ascii="宋体" w:hAnsi="宋体" w:eastAsia="宋体" w:cs="宋体"/>
        </w:rPr>
        <w:t xml:space="preserve">b、投标人吉林省信用评价等级：指投标人在吉林省交通运输厅发布的 </w:t>
      </w:r>
      <w:r>
        <w:rPr>
          <w:rFonts w:hint="eastAsia" w:ascii="宋体" w:hAnsi="宋体" w:eastAsia="宋体" w:cs="宋体"/>
          <w:highlight w:val="none"/>
        </w:rPr>
        <w:t>“关于发布201</w:t>
      </w:r>
      <w:r>
        <w:rPr>
          <w:rFonts w:hint="eastAsia" w:ascii="宋体" w:hAnsi="宋体" w:eastAsia="宋体" w:cs="宋体"/>
          <w:highlight w:val="none"/>
          <w:lang w:val="en-US" w:eastAsia="zh-CN"/>
        </w:rPr>
        <w:t>9</w:t>
      </w:r>
      <w:r>
        <w:rPr>
          <w:rFonts w:hint="eastAsia" w:ascii="宋体" w:hAnsi="宋体" w:eastAsia="宋体" w:cs="宋体"/>
          <w:highlight w:val="none"/>
        </w:rPr>
        <w:t>年度公路设计、施工企业吉林省省级综合评价结果的公告”中的201</w:t>
      </w:r>
      <w:r>
        <w:rPr>
          <w:rFonts w:hint="eastAsia" w:ascii="宋体" w:hAnsi="宋体" w:eastAsia="宋体" w:cs="宋体"/>
          <w:highlight w:val="none"/>
          <w:lang w:val="en-US" w:eastAsia="zh-CN"/>
        </w:rPr>
        <w:t>9</w:t>
      </w:r>
      <w:r>
        <w:rPr>
          <w:rFonts w:hint="eastAsia" w:ascii="宋体" w:hAnsi="宋体" w:eastAsia="宋体" w:cs="宋体"/>
          <w:highlight w:val="none"/>
        </w:rPr>
        <w:t>年的信用等级；投标人全国信用评价等级：指投标人在“全国公路建设市场信用信息管理系统”中“全国公路从业单位信用评价结果”中“201</w:t>
      </w:r>
      <w:r>
        <w:rPr>
          <w:rFonts w:hint="eastAsia" w:ascii="宋体" w:hAnsi="宋体" w:eastAsia="宋体" w:cs="宋体"/>
          <w:highlight w:val="none"/>
          <w:lang w:val="en-US" w:eastAsia="zh-CN"/>
        </w:rPr>
        <w:t>9</w:t>
      </w:r>
      <w:r>
        <w:rPr>
          <w:rFonts w:hint="eastAsia" w:ascii="宋体" w:hAnsi="宋体" w:eastAsia="宋体" w:cs="宋体"/>
          <w:highlight w:val="none"/>
        </w:rPr>
        <w:t xml:space="preserve">年施工单位”选项中的信用等级。 </w:t>
      </w:r>
    </w:p>
    <w:p>
      <w:pPr>
        <w:pStyle w:val="6"/>
        <w:rPr>
          <w:rFonts w:hint="eastAsia" w:ascii="宋体" w:hAnsi="宋体" w:eastAsia="宋体" w:cs="宋体"/>
          <w:highlight w:val="none"/>
        </w:rPr>
      </w:pPr>
      <w:r>
        <w:rPr>
          <w:rFonts w:hint="eastAsia" w:ascii="宋体" w:hAnsi="宋体" w:eastAsia="宋体" w:cs="宋体"/>
          <w:highlight w:val="none"/>
        </w:rPr>
        <w:t>c.投标人吉林省信用评价等级和投标人全国信用评价等级二者均有时，以两种信用评价等级</w:t>
      </w:r>
      <w:r>
        <w:rPr>
          <w:rFonts w:hint="eastAsia" w:ascii="宋体" w:hAnsi="宋体" w:eastAsia="宋体" w:cs="宋体"/>
          <w:highlight w:val="none"/>
          <w:lang w:eastAsia="zh-CN"/>
        </w:rPr>
        <w:t>低</w:t>
      </w:r>
      <w:r>
        <w:rPr>
          <w:rFonts w:hint="eastAsia" w:ascii="宋体" w:hAnsi="宋体" w:eastAsia="宋体" w:cs="宋体"/>
          <w:highlight w:val="none"/>
        </w:rPr>
        <w:t xml:space="preserve">的为准。 </w:t>
      </w:r>
    </w:p>
    <w:p>
      <w:pPr>
        <w:pStyle w:val="6"/>
        <w:rPr>
          <w:highlight w:val="none"/>
        </w:rPr>
      </w:pPr>
      <w:r>
        <w:rPr>
          <w:rFonts w:hint="eastAsia" w:ascii="宋体" w:hAnsi="宋体" w:eastAsia="宋体" w:cs="宋体"/>
          <w:highlight w:val="none"/>
        </w:rPr>
        <w:t>d.无评价指投标人吉林省信用评价等级和投标人全国信用评价等级二者均没有的情况。</w:t>
      </w:r>
      <w:r>
        <w:rPr>
          <w:rFonts w:hint="eastAsia"/>
          <w:highlight w:val="none"/>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151C"/>
    <w:rsid w:val="00071F41"/>
    <w:rsid w:val="000746E8"/>
    <w:rsid w:val="00081182"/>
    <w:rsid w:val="0008206E"/>
    <w:rsid w:val="00084B2F"/>
    <w:rsid w:val="00086877"/>
    <w:rsid w:val="000D1627"/>
    <w:rsid w:val="000F0E28"/>
    <w:rsid w:val="000F278E"/>
    <w:rsid w:val="00107EFF"/>
    <w:rsid w:val="00117FEF"/>
    <w:rsid w:val="00123684"/>
    <w:rsid w:val="00156457"/>
    <w:rsid w:val="00166511"/>
    <w:rsid w:val="00186DF5"/>
    <w:rsid w:val="00195D43"/>
    <w:rsid w:val="001A4C48"/>
    <w:rsid w:val="001E2E0A"/>
    <w:rsid w:val="001E3806"/>
    <w:rsid w:val="00200BE4"/>
    <w:rsid w:val="00222D9A"/>
    <w:rsid w:val="00230D28"/>
    <w:rsid w:val="002313C9"/>
    <w:rsid w:val="00233E18"/>
    <w:rsid w:val="00236404"/>
    <w:rsid w:val="002426E6"/>
    <w:rsid w:val="00260D23"/>
    <w:rsid w:val="00261AFE"/>
    <w:rsid w:val="00272488"/>
    <w:rsid w:val="00291BBD"/>
    <w:rsid w:val="002A4576"/>
    <w:rsid w:val="002B2205"/>
    <w:rsid w:val="002B363E"/>
    <w:rsid w:val="0030483F"/>
    <w:rsid w:val="00311EC6"/>
    <w:rsid w:val="00335679"/>
    <w:rsid w:val="003401E5"/>
    <w:rsid w:val="003471AD"/>
    <w:rsid w:val="003F01B0"/>
    <w:rsid w:val="003F2185"/>
    <w:rsid w:val="003F6D58"/>
    <w:rsid w:val="00402717"/>
    <w:rsid w:val="004054E7"/>
    <w:rsid w:val="00420CD2"/>
    <w:rsid w:val="00420FBB"/>
    <w:rsid w:val="00422B0A"/>
    <w:rsid w:val="00454DBB"/>
    <w:rsid w:val="00456F9C"/>
    <w:rsid w:val="00482093"/>
    <w:rsid w:val="004A419B"/>
    <w:rsid w:val="004A4F1C"/>
    <w:rsid w:val="004B2423"/>
    <w:rsid w:val="004F41BD"/>
    <w:rsid w:val="00571251"/>
    <w:rsid w:val="005771E8"/>
    <w:rsid w:val="0059060A"/>
    <w:rsid w:val="00592352"/>
    <w:rsid w:val="005A4447"/>
    <w:rsid w:val="005D64C5"/>
    <w:rsid w:val="0062070B"/>
    <w:rsid w:val="00693EC6"/>
    <w:rsid w:val="006A1F8A"/>
    <w:rsid w:val="006D47E4"/>
    <w:rsid w:val="006F55CD"/>
    <w:rsid w:val="0070682C"/>
    <w:rsid w:val="00706E64"/>
    <w:rsid w:val="00714790"/>
    <w:rsid w:val="007622E8"/>
    <w:rsid w:val="007627FC"/>
    <w:rsid w:val="00773554"/>
    <w:rsid w:val="00781441"/>
    <w:rsid w:val="00782693"/>
    <w:rsid w:val="00783D3D"/>
    <w:rsid w:val="007D5333"/>
    <w:rsid w:val="007F1F0C"/>
    <w:rsid w:val="00824628"/>
    <w:rsid w:val="00883C13"/>
    <w:rsid w:val="00891C98"/>
    <w:rsid w:val="008A60BF"/>
    <w:rsid w:val="008B0CE0"/>
    <w:rsid w:val="008B7E8B"/>
    <w:rsid w:val="008C1C92"/>
    <w:rsid w:val="008C6A57"/>
    <w:rsid w:val="008D6072"/>
    <w:rsid w:val="008F26A7"/>
    <w:rsid w:val="0091383C"/>
    <w:rsid w:val="00914A67"/>
    <w:rsid w:val="00921491"/>
    <w:rsid w:val="00923894"/>
    <w:rsid w:val="009243A0"/>
    <w:rsid w:val="00970688"/>
    <w:rsid w:val="0098525D"/>
    <w:rsid w:val="009A0B2F"/>
    <w:rsid w:val="009B614B"/>
    <w:rsid w:val="009D433E"/>
    <w:rsid w:val="009E0899"/>
    <w:rsid w:val="009E6D5D"/>
    <w:rsid w:val="009F5948"/>
    <w:rsid w:val="00A03BCA"/>
    <w:rsid w:val="00A05BE2"/>
    <w:rsid w:val="00A303C4"/>
    <w:rsid w:val="00A4037D"/>
    <w:rsid w:val="00A446D5"/>
    <w:rsid w:val="00A4486F"/>
    <w:rsid w:val="00A50913"/>
    <w:rsid w:val="00A57171"/>
    <w:rsid w:val="00A57F1A"/>
    <w:rsid w:val="00A67B3E"/>
    <w:rsid w:val="00AA070A"/>
    <w:rsid w:val="00AC1DC0"/>
    <w:rsid w:val="00AC7B55"/>
    <w:rsid w:val="00B113B7"/>
    <w:rsid w:val="00B35A4A"/>
    <w:rsid w:val="00B4090A"/>
    <w:rsid w:val="00B46F97"/>
    <w:rsid w:val="00B52A76"/>
    <w:rsid w:val="00B709F1"/>
    <w:rsid w:val="00B770F2"/>
    <w:rsid w:val="00B8443A"/>
    <w:rsid w:val="00B9071C"/>
    <w:rsid w:val="00BA0162"/>
    <w:rsid w:val="00BC2231"/>
    <w:rsid w:val="00BE472A"/>
    <w:rsid w:val="00BF5859"/>
    <w:rsid w:val="00C11AEF"/>
    <w:rsid w:val="00C44430"/>
    <w:rsid w:val="00C61CFE"/>
    <w:rsid w:val="00C83E90"/>
    <w:rsid w:val="00C8680E"/>
    <w:rsid w:val="00C94121"/>
    <w:rsid w:val="00CB35C2"/>
    <w:rsid w:val="00CD2278"/>
    <w:rsid w:val="00CD64BE"/>
    <w:rsid w:val="00CE2D4A"/>
    <w:rsid w:val="00CE4399"/>
    <w:rsid w:val="00CE728A"/>
    <w:rsid w:val="00D007F1"/>
    <w:rsid w:val="00D03D45"/>
    <w:rsid w:val="00D0602A"/>
    <w:rsid w:val="00D161EF"/>
    <w:rsid w:val="00D56462"/>
    <w:rsid w:val="00D60173"/>
    <w:rsid w:val="00D6151C"/>
    <w:rsid w:val="00D95FC4"/>
    <w:rsid w:val="00DB0189"/>
    <w:rsid w:val="00DB3834"/>
    <w:rsid w:val="00DC036B"/>
    <w:rsid w:val="00DD6BEA"/>
    <w:rsid w:val="00DF42E0"/>
    <w:rsid w:val="00DF6E66"/>
    <w:rsid w:val="00E14034"/>
    <w:rsid w:val="00E27FE6"/>
    <w:rsid w:val="00E353DE"/>
    <w:rsid w:val="00E4151C"/>
    <w:rsid w:val="00E4639B"/>
    <w:rsid w:val="00E57D43"/>
    <w:rsid w:val="00E60B71"/>
    <w:rsid w:val="00E64DF0"/>
    <w:rsid w:val="00E85718"/>
    <w:rsid w:val="00E933A4"/>
    <w:rsid w:val="00E96345"/>
    <w:rsid w:val="00EB5FD2"/>
    <w:rsid w:val="00EC55F9"/>
    <w:rsid w:val="00ED66C0"/>
    <w:rsid w:val="00EE273B"/>
    <w:rsid w:val="00F1423D"/>
    <w:rsid w:val="00F2391A"/>
    <w:rsid w:val="00F339E4"/>
    <w:rsid w:val="00F410A8"/>
    <w:rsid w:val="00F6659C"/>
    <w:rsid w:val="00F82E4A"/>
    <w:rsid w:val="00F83F0B"/>
    <w:rsid w:val="00FA2912"/>
    <w:rsid w:val="00FA41CD"/>
    <w:rsid w:val="00FA4F5A"/>
    <w:rsid w:val="00FA5F9A"/>
    <w:rsid w:val="00FB3D02"/>
    <w:rsid w:val="00FD4598"/>
    <w:rsid w:val="00FE5501"/>
    <w:rsid w:val="00FE6756"/>
    <w:rsid w:val="056D31AF"/>
    <w:rsid w:val="06593A7E"/>
    <w:rsid w:val="078C0680"/>
    <w:rsid w:val="08475346"/>
    <w:rsid w:val="0C60248A"/>
    <w:rsid w:val="12B40441"/>
    <w:rsid w:val="162C6BCF"/>
    <w:rsid w:val="1B3235D0"/>
    <w:rsid w:val="2233303B"/>
    <w:rsid w:val="242F35A7"/>
    <w:rsid w:val="2559563E"/>
    <w:rsid w:val="2DB50D94"/>
    <w:rsid w:val="2F51014E"/>
    <w:rsid w:val="38350FA5"/>
    <w:rsid w:val="39762B7E"/>
    <w:rsid w:val="3BFB4129"/>
    <w:rsid w:val="40A10D5C"/>
    <w:rsid w:val="43D354B7"/>
    <w:rsid w:val="44F13EE0"/>
    <w:rsid w:val="468D2400"/>
    <w:rsid w:val="48C2104D"/>
    <w:rsid w:val="55AA0BBA"/>
    <w:rsid w:val="5A9C7950"/>
    <w:rsid w:val="607C7A1A"/>
    <w:rsid w:val="60842E30"/>
    <w:rsid w:val="63CF06DE"/>
    <w:rsid w:val="655A1EEC"/>
    <w:rsid w:val="669D7A63"/>
    <w:rsid w:val="6ACF2E5E"/>
    <w:rsid w:val="6E931B3B"/>
    <w:rsid w:val="6EE577C0"/>
    <w:rsid w:val="700D2769"/>
    <w:rsid w:val="71C83065"/>
    <w:rsid w:val="74CC3304"/>
    <w:rsid w:val="7B6E07AA"/>
    <w:rsid w:val="7B973A44"/>
    <w:rsid w:val="7E4D43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nhideWhenUsed="0" w:uiPriority="99" w:semiHidden="0"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locked/>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link w:val="15"/>
    <w:qFormat/>
    <w:locked/>
    <w:uiPriority w:val="0"/>
    <w:pPr>
      <w:keepNext/>
      <w:keepLines/>
      <w:spacing w:before="260" w:after="260" w:line="416" w:lineRule="auto"/>
      <w:outlineLvl w:val="2"/>
    </w:pPr>
    <w:rPr>
      <w:b/>
      <w:bCs/>
      <w:sz w:val="32"/>
      <w:szCs w:val="32"/>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footer"/>
    <w:basedOn w:val="1"/>
    <w:link w:val="14"/>
    <w:qFormat/>
    <w:uiPriority w:val="99"/>
    <w:pPr>
      <w:tabs>
        <w:tab w:val="center" w:pos="4153"/>
        <w:tab w:val="right" w:pos="8306"/>
      </w:tabs>
      <w:snapToGrid w:val="0"/>
      <w:jc w:val="left"/>
    </w:pPr>
    <w:rPr>
      <w:kern w:val="0"/>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kern w:val="0"/>
      <w:sz w:val="18"/>
      <w:szCs w:val="18"/>
    </w:rPr>
  </w:style>
  <w:style w:type="paragraph" w:styleId="6">
    <w:name w:val="footnote text"/>
    <w:basedOn w:val="1"/>
    <w:link w:val="12"/>
    <w:qFormat/>
    <w:uiPriority w:val="99"/>
    <w:pPr>
      <w:snapToGrid w:val="0"/>
      <w:jc w:val="left"/>
    </w:pPr>
    <w:rPr>
      <w:kern w:val="0"/>
      <w:sz w:val="18"/>
      <w:szCs w:val="18"/>
    </w:rPr>
  </w:style>
  <w:style w:type="paragraph" w:styleId="7">
    <w:name w:val="Body Text Indent 3"/>
    <w:basedOn w:val="1"/>
    <w:link w:val="20"/>
    <w:qFormat/>
    <w:uiPriority w:val="99"/>
    <w:pPr>
      <w:spacing w:line="420" w:lineRule="exact"/>
      <w:ind w:firstLine="420" w:firstLineChars="200"/>
    </w:pPr>
    <w:rPr>
      <w:rFonts w:ascii="Times New Roman" w:hAnsi="Times New Roman"/>
      <w:szCs w:val="24"/>
    </w:rPr>
  </w:style>
  <w:style w:type="character" w:styleId="10">
    <w:name w:val="Hyperlink"/>
    <w:semiHidden/>
    <w:unhideWhenUsed/>
    <w:qFormat/>
    <w:uiPriority w:val="99"/>
    <w:rPr>
      <w:color w:val="0000FF"/>
      <w:u w:val="single"/>
    </w:rPr>
  </w:style>
  <w:style w:type="character" w:styleId="11">
    <w:name w:val="footnote reference"/>
    <w:basedOn w:val="9"/>
    <w:qFormat/>
    <w:uiPriority w:val="99"/>
    <w:rPr>
      <w:rFonts w:cs="Times New Roman"/>
      <w:vertAlign w:val="superscript"/>
    </w:rPr>
  </w:style>
  <w:style w:type="character" w:customStyle="1" w:styleId="12">
    <w:name w:val="脚注文本 字符"/>
    <w:link w:val="6"/>
    <w:qFormat/>
    <w:locked/>
    <w:uiPriority w:val="99"/>
    <w:rPr>
      <w:rFonts w:ascii="Calibri" w:hAnsi="Calibri" w:eastAsia="宋体" w:cs="Times New Roman"/>
      <w:sz w:val="18"/>
      <w:szCs w:val="18"/>
    </w:rPr>
  </w:style>
  <w:style w:type="character" w:customStyle="1" w:styleId="13">
    <w:name w:val="页眉 字符"/>
    <w:link w:val="5"/>
    <w:qFormat/>
    <w:locked/>
    <w:uiPriority w:val="0"/>
    <w:rPr>
      <w:rFonts w:ascii="Calibri" w:hAnsi="Calibri" w:eastAsia="宋体" w:cs="Times New Roman"/>
      <w:sz w:val="18"/>
      <w:szCs w:val="18"/>
    </w:rPr>
  </w:style>
  <w:style w:type="character" w:customStyle="1" w:styleId="14">
    <w:name w:val="页脚 字符"/>
    <w:link w:val="4"/>
    <w:qFormat/>
    <w:locked/>
    <w:uiPriority w:val="99"/>
    <w:rPr>
      <w:rFonts w:ascii="Calibri" w:hAnsi="Calibri" w:eastAsia="宋体" w:cs="Times New Roman"/>
      <w:sz w:val="18"/>
      <w:szCs w:val="18"/>
    </w:rPr>
  </w:style>
  <w:style w:type="character" w:customStyle="1" w:styleId="15">
    <w:name w:val="标题 3 字符"/>
    <w:link w:val="3"/>
    <w:qFormat/>
    <w:uiPriority w:val="0"/>
    <w:rPr>
      <w:b/>
      <w:bCs/>
      <w:kern w:val="2"/>
      <w:sz w:val="32"/>
      <w:szCs w:val="32"/>
    </w:rPr>
  </w:style>
  <w:style w:type="paragraph" w:customStyle="1" w:styleId="16">
    <w:name w:val="样式3"/>
    <w:basedOn w:val="1"/>
    <w:qFormat/>
    <w:uiPriority w:val="0"/>
    <w:pPr>
      <w:keepNext/>
      <w:keepLines/>
      <w:spacing w:line="400" w:lineRule="exact"/>
      <w:outlineLvl w:val="0"/>
    </w:pPr>
    <w:rPr>
      <w:rFonts w:ascii="Times New Roman" w:hAnsi="Times New Roman"/>
      <w:b/>
      <w:bCs/>
      <w:kern w:val="44"/>
      <w:sz w:val="28"/>
      <w:szCs w:val="44"/>
    </w:rPr>
  </w:style>
  <w:style w:type="character" w:customStyle="1" w:styleId="17">
    <w:name w:val="正文文本 (14)_"/>
    <w:link w:val="18"/>
    <w:qFormat/>
    <w:uiPriority w:val="0"/>
    <w:rPr>
      <w:rFonts w:ascii="宋体" w:hAnsi="宋体" w:cs="宋体"/>
      <w:sz w:val="18"/>
      <w:szCs w:val="18"/>
      <w:shd w:val="clear" w:color="auto" w:fill="FFFFFF"/>
    </w:rPr>
  </w:style>
  <w:style w:type="paragraph" w:customStyle="1" w:styleId="18">
    <w:name w:val="正文文本 (14)"/>
    <w:basedOn w:val="1"/>
    <w:link w:val="17"/>
    <w:qFormat/>
    <w:uiPriority w:val="0"/>
    <w:pPr>
      <w:shd w:val="clear" w:color="auto" w:fill="FFFFFF"/>
      <w:spacing w:before="300" w:line="300" w:lineRule="exact"/>
      <w:jc w:val="distribute"/>
    </w:pPr>
    <w:rPr>
      <w:rFonts w:ascii="宋体" w:hAnsi="宋体"/>
      <w:kern w:val="0"/>
      <w:sz w:val="18"/>
      <w:szCs w:val="18"/>
    </w:rPr>
  </w:style>
  <w:style w:type="character" w:customStyle="1" w:styleId="19">
    <w:name w:val="脚注文本 Char"/>
    <w:qFormat/>
    <w:uiPriority w:val="99"/>
    <w:rPr>
      <w:sz w:val="18"/>
      <w:szCs w:val="18"/>
    </w:rPr>
  </w:style>
  <w:style w:type="character" w:customStyle="1" w:styleId="20">
    <w:name w:val="正文文本缩进 3 字符1"/>
    <w:link w:val="7"/>
    <w:qFormat/>
    <w:uiPriority w:val="99"/>
    <w:rPr>
      <w:rFonts w:ascii="Times New Roman" w:hAnsi="Times New Roman"/>
      <w:kern w:val="2"/>
      <w:sz w:val="21"/>
      <w:szCs w:val="24"/>
    </w:rPr>
  </w:style>
  <w:style w:type="character" w:customStyle="1" w:styleId="21">
    <w:name w:val="正文文本缩进 3 字符"/>
    <w:semiHidden/>
    <w:qFormat/>
    <w:uiPriority w:val="99"/>
    <w:rPr>
      <w:kern w:val="2"/>
      <w:sz w:val="16"/>
      <w:szCs w:val="16"/>
    </w:rPr>
  </w:style>
  <w:style w:type="paragraph" w:customStyle="1" w:styleId="22">
    <w:name w:val="Table Paragraph"/>
    <w:basedOn w:val="1"/>
    <w:qFormat/>
    <w:uiPriority w:val="1"/>
    <w:pPr>
      <w:jc w:val="left"/>
    </w:pPr>
    <w:rPr>
      <w:kern w:val="0"/>
      <w:sz w:val="22"/>
      <w:lang w:eastAsia="en-US"/>
    </w:rPr>
  </w:style>
  <w:style w:type="character" w:customStyle="1" w:styleId="23">
    <w:name w:val="标题 3 Char"/>
    <w:uiPriority w:val="1"/>
    <w:rPr>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1317</Words>
  <Characters>7513</Characters>
  <Lines>62</Lines>
  <Paragraphs>17</Paragraphs>
  <TotalTime>1</TotalTime>
  <ScaleCrop>false</ScaleCrop>
  <LinksUpToDate>false</LinksUpToDate>
  <CharactersWithSpaces>8813</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2016-06-13T06:04:00Z</dcterms:created>
  <dc:creator>usq</dc:creator>
  <cp:lastModifiedBy>欧阳志泳</cp:lastModifiedBy>
  <dcterms:modified xsi:type="dcterms:W3CDTF">2020-07-31T01:04:34Z</dcterms:modified>
  <dc:title>洮南市2016年农村公路建设项目（县道洮南-舍力）施工招标</dc:title>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