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b/>
          <w:sz w:val="32"/>
          <w:szCs w:val="32"/>
        </w:rPr>
      </w:pPr>
      <w:bookmarkStart w:id="25" w:name="_GoBack"/>
      <w:bookmarkEnd w:id="25"/>
      <w:r>
        <w:rPr>
          <w:rFonts w:hint="eastAsia" w:ascii="黑体" w:eastAsia="黑体"/>
          <w:b/>
          <w:sz w:val="32"/>
          <w:szCs w:val="32"/>
        </w:rPr>
        <w:t>洮北区2020年农村公路小修保养及日常养护工程项目施工招标</w:t>
      </w:r>
    </w:p>
    <w:p>
      <w:pPr>
        <w:jc w:val="center"/>
        <w:rPr>
          <w:rFonts w:ascii="黑体" w:hAnsi="黑体" w:eastAsia="黑体"/>
          <w:bCs/>
          <w:kern w:val="0"/>
          <w:sz w:val="32"/>
          <w:szCs w:val="32"/>
        </w:rPr>
      </w:pPr>
      <w:r>
        <w:rPr>
          <w:rFonts w:hint="eastAsia" w:ascii="黑体" w:eastAsia="黑体"/>
          <w:b/>
          <w:sz w:val="32"/>
          <w:szCs w:val="32"/>
        </w:rPr>
        <w:t>招标文件关键内容信息公开</w:t>
      </w:r>
    </w:p>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1.招标条件</w:t>
      </w:r>
    </w:p>
    <w:p>
      <w:pPr>
        <w:tabs>
          <w:tab w:val="left" w:pos="540"/>
        </w:tabs>
        <w:spacing w:line="360" w:lineRule="auto"/>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rPr>
        <w:t xml:space="preserve">    本招标项目洮北区20</w:t>
      </w:r>
      <w:r>
        <w:rPr>
          <w:rFonts w:hint="eastAsia" w:asciiTheme="minorEastAsia" w:hAnsiTheme="minorEastAsia" w:eastAsiaTheme="minorEastAsia" w:cstheme="minorEastAsia"/>
          <w:kern w:val="0"/>
          <w:sz w:val="24"/>
          <w:szCs w:val="24"/>
          <w:lang w:val="en-US" w:eastAsia="zh-CN"/>
        </w:rPr>
        <w:t>20</w:t>
      </w:r>
      <w:r>
        <w:rPr>
          <w:rFonts w:hint="eastAsia" w:asciiTheme="minorEastAsia" w:hAnsiTheme="minorEastAsia" w:eastAsiaTheme="minorEastAsia" w:cstheme="minorEastAsia"/>
          <w:kern w:val="0"/>
          <w:sz w:val="24"/>
          <w:szCs w:val="24"/>
        </w:rPr>
        <w:t>年农村公路小修保养及日常养护工程</w:t>
      </w:r>
      <w:r>
        <w:rPr>
          <w:rFonts w:hint="eastAsia" w:asciiTheme="minorEastAsia" w:hAnsiTheme="minorEastAsia" w:eastAsiaTheme="minorEastAsia" w:cstheme="minorEastAsia"/>
          <w:kern w:val="0"/>
          <w:sz w:val="24"/>
          <w:szCs w:val="24"/>
          <w:lang w:val="en-US" w:eastAsia="zh-CN"/>
        </w:rPr>
        <w:t>项目</w:t>
      </w:r>
      <w:r>
        <w:rPr>
          <w:rFonts w:hint="eastAsia" w:asciiTheme="minorEastAsia" w:hAnsiTheme="minorEastAsia" w:eastAsiaTheme="minorEastAsia" w:cstheme="minorEastAsia"/>
          <w:kern w:val="0"/>
          <w:sz w:val="24"/>
          <w:szCs w:val="24"/>
        </w:rPr>
        <w:t>已由白城市洮北区交通运输局文件“白洮交发〔20</w:t>
      </w:r>
      <w:r>
        <w:rPr>
          <w:rFonts w:hint="eastAsia" w:asciiTheme="minorEastAsia" w:hAnsiTheme="minorEastAsia" w:eastAsiaTheme="minorEastAsia" w:cstheme="minorEastAsia"/>
          <w:kern w:val="0"/>
          <w:sz w:val="24"/>
          <w:szCs w:val="24"/>
          <w:lang w:val="en-US" w:eastAsia="zh-CN"/>
        </w:rPr>
        <w:t>19</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kern w:val="0"/>
          <w:sz w:val="24"/>
          <w:szCs w:val="24"/>
          <w:lang w:val="en-US" w:eastAsia="zh-CN"/>
        </w:rPr>
        <w:t>141</w:t>
      </w:r>
      <w:r>
        <w:rPr>
          <w:rFonts w:hint="eastAsia" w:asciiTheme="minorEastAsia" w:hAnsiTheme="minorEastAsia" w:eastAsiaTheme="minorEastAsia" w:cstheme="minorEastAsia"/>
          <w:kern w:val="0"/>
          <w:sz w:val="24"/>
          <w:szCs w:val="24"/>
        </w:rPr>
        <w:t>号”文件批复，项目业主为白城市洮北区县乡公路养护工程建设管理办公室，建设资金来源为省补</w:t>
      </w:r>
      <w:r>
        <w:rPr>
          <w:rFonts w:hint="eastAsia" w:asciiTheme="minorEastAsia" w:hAnsiTheme="minorEastAsia" w:eastAsiaTheme="minorEastAsia" w:cstheme="minorEastAsia"/>
          <w:kern w:val="0"/>
          <w:sz w:val="24"/>
          <w:szCs w:val="24"/>
          <w:lang w:val="en-US" w:eastAsia="zh-CN"/>
        </w:rPr>
        <w:t>资金</w:t>
      </w:r>
      <w:r>
        <w:rPr>
          <w:rFonts w:hint="eastAsia" w:asciiTheme="minorEastAsia" w:hAnsiTheme="minorEastAsia" w:eastAsiaTheme="minorEastAsia" w:cstheme="minorEastAsia"/>
          <w:kern w:val="0"/>
          <w:sz w:val="24"/>
          <w:szCs w:val="24"/>
        </w:rPr>
        <w:t>和地方配套</w:t>
      </w:r>
      <w:r>
        <w:rPr>
          <w:rFonts w:hint="eastAsia" w:asciiTheme="minorEastAsia" w:hAnsiTheme="minorEastAsia" w:eastAsiaTheme="minorEastAsia" w:cstheme="minorEastAsia"/>
          <w:kern w:val="0"/>
          <w:sz w:val="24"/>
          <w:szCs w:val="24"/>
          <w:lang w:val="en-US" w:eastAsia="zh-CN"/>
        </w:rPr>
        <w:t>资金</w:t>
      </w:r>
      <w:r>
        <w:rPr>
          <w:rFonts w:hint="eastAsia" w:asciiTheme="minorEastAsia" w:hAnsiTheme="minorEastAsia" w:eastAsiaTheme="minorEastAsia" w:cstheme="minorEastAsia"/>
          <w:kern w:val="0"/>
          <w:sz w:val="24"/>
          <w:szCs w:val="24"/>
        </w:rPr>
        <w:t>，招标人为白城市洮北区县乡公路养护工程建设管理办公室。项目已具备招标条件，现对该项目的施工进行公开招标，对潜在投标人进行资格后审。</w:t>
      </w:r>
    </w:p>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2.项目概况与招标范围</w:t>
      </w:r>
    </w:p>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本项目共划分为1个标段。</w:t>
      </w:r>
    </w:p>
    <w:tbl>
      <w:tblPr>
        <w:tblStyle w:val="7"/>
        <w:tblW w:w="899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42"/>
        <w:gridCol w:w="3732"/>
        <w:gridCol w:w="1229"/>
        <w:gridCol w:w="1276"/>
        <w:gridCol w:w="191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 w:hRule="atLeast"/>
          <w:jc w:val="center"/>
        </w:trPr>
        <w:tc>
          <w:tcPr>
            <w:tcW w:w="842" w:type="dxa"/>
            <w:noWrap w:val="0"/>
            <w:vAlign w:val="center"/>
          </w:tcPr>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标段</w:t>
            </w:r>
          </w:p>
        </w:tc>
        <w:tc>
          <w:tcPr>
            <w:tcW w:w="3732" w:type="dxa"/>
            <w:noWrap w:val="0"/>
            <w:vAlign w:val="center"/>
          </w:tcPr>
          <w:p>
            <w:pPr>
              <w:tabs>
                <w:tab w:val="left" w:pos="540"/>
              </w:tabs>
              <w:spacing w:line="360" w:lineRule="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项目名称</w:t>
            </w:r>
          </w:p>
        </w:tc>
        <w:tc>
          <w:tcPr>
            <w:tcW w:w="1229" w:type="dxa"/>
            <w:noWrap w:val="0"/>
            <w:vAlign w:val="center"/>
          </w:tcPr>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路线长度</w:t>
            </w:r>
          </w:p>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（公里）</w:t>
            </w:r>
          </w:p>
        </w:tc>
        <w:tc>
          <w:tcPr>
            <w:tcW w:w="1276" w:type="dxa"/>
            <w:tcBorders>
              <w:bottom w:val="single" w:color="auto" w:sz="4" w:space="0"/>
            </w:tcBorders>
            <w:noWrap w:val="0"/>
            <w:vAlign w:val="center"/>
          </w:tcPr>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工程所在地</w:t>
            </w:r>
          </w:p>
        </w:tc>
        <w:tc>
          <w:tcPr>
            <w:tcW w:w="1917" w:type="dxa"/>
            <w:tcBorders>
              <w:bottom w:val="single" w:color="auto" w:sz="4" w:space="0"/>
            </w:tcBorders>
            <w:noWrap w:val="0"/>
            <w:vAlign w:val="center"/>
          </w:tcPr>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主要施工内容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842" w:type="dxa"/>
            <w:noWrap w:val="0"/>
            <w:vAlign w:val="center"/>
          </w:tcPr>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01</w:t>
            </w:r>
          </w:p>
        </w:tc>
        <w:tc>
          <w:tcPr>
            <w:tcW w:w="3732" w:type="dxa"/>
            <w:noWrap w:val="0"/>
            <w:vAlign w:val="center"/>
          </w:tcPr>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洮北区20</w:t>
            </w:r>
            <w:r>
              <w:rPr>
                <w:rFonts w:hint="eastAsia" w:asciiTheme="minorEastAsia" w:hAnsiTheme="minorEastAsia" w:eastAsiaTheme="minorEastAsia" w:cstheme="minorEastAsia"/>
                <w:kern w:val="0"/>
                <w:sz w:val="24"/>
                <w:szCs w:val="24"/>
                <w:lang w:val="en-US" w:eastAsia="zh-CN"/>
              </w:rPr>
              <w:t>20</w:t>
            </w:r>
            <w:r>
              <w:rPr>
                <w:rFonts w:hint="eastAsia" w:asciiTheme="minorEastAsia" w:hAnsiTheme="minorEastAsia" w:eastAsiaTheme="minorEastAsia" w:cstheme="minorEastAsia"/>
                <w:kern w:val="0"/>
                <w:sz w:val="24"/>
                <w:szCs w:val="24"/>
              </w:rPr>
              <w:t>年农村公路小修保养及日常养护工程</w:t>
            </w:r>
          </w:p>
        </w:tc>
        <w:tc>
          <w:tcPr>
            <w:tcW w:w="1229" w:type="dxa"/>
            <w:noWrap w:val="0"/>
            <w:vAlign w:val="center"/>
          </w:tcPr>
          <w:p>
            <w:pPr>
              <w:tabs>
                <w:tab w:val="left" w:pos="540"/>
              </w:tabs>
              <w:spacing w:line="360" w:lineRule="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691.48</w:t>
            </w:r>
          </w:p>
        </w:tc>
        <w:tc>
          <w:tcPr>
            <w:tcW w:w="1276" w:type="dxa"/>
            <w:noWrap w:val="0"/>
            <w:vAlign w:val="center"/>
          </w:tcPr>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洮北区</w:t>
            </w:r>
          </w:p>
        </w:tc>
        <w:tc>
          <w:tcPr>
            <w:tcW w:w="1917" w:type="dxa"/>
            <w:noWrap w:val="0"/>
            <w:vAlign w:val="center"/>
          </w:tcPr>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农村公路小修保养及日常养护</w:t>
            </w:r>
          </w:p>
        </w:tc>
      </w:tr>
    </w:tbl>
    <w:p>
      <w:pPr>
        <w:tabs>
          <w:tab w:val="left" w:pos="540"/>
        </w:tabs>
        <w:spacing w:line="360" w:lineRule="auto"/>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rPr>
        <w:t>计划工期：20</w:t>
      </w:r>
      <w:r>
        <w:rPr>
          <w:rFonts w:hint="eastAsia" w:asciiTheme="minorEastAsia" w:hAnsiTheme="minorEastAsia" w:eastAsiaTheme="minorEastAsia" w:cstheme="minorEastAsia"/>
          <w:kern w:val="0"/>
          <w:sz w:val="24"/>
          <w:szCs w:val="24"/>
          <w:lang w:val="en-US" w:eastAsia="zh-CN"/>
        </w:rPr>
        <w:t>20</w:t>
      </w:r>
      <w:r>
        <w:rPr>
          <w:rFonts w:hint="eastAsia" w:asciiTheme="minorEastAsia" w:hAnsiTheme="minorEastAsia" w:eastAsiaTheme="minorEastAsia" w:cstheme="minorEastAsia"/>
          <w:kern w:val="0"/>
          <w:sz w:val="24"/>
          <w:szCs w:val="24"/>
        </w:rPr>
        <w:t>年0</w:t>
      </w:r>
      <w:r>
        <w:rPr>
          <w:rFonts w:hint="eastAsia" w:asciiTheme="minorEastAsia" w:hAnsiTheme="minorEastAsia" w:eastAsiaTheme="minorEastAsia" w:cstheme="minorEastAsia"/>
          <w:kern w:val="0"/>
          <w:sz w:val="24"/>
          <w:szCs w:val="24"/>
          <w:lang w:val="en-US" w:eastAsia="zh-CN"/>
        </w:rPr>
        <w:t>2</w:t>
      </w:r>
      <w:r>
        <w:rPr>
          <w:rFonts w:hint="eastAsia" w:asciiTheme="minorEastAsia" w:hAnsiTheme="minorEastAsia" w:eastAsiaTheme="minorEastAsia" w:cstheme="minorEastAsia"/>
          <w:kern w:val="0"/>
          <w:sz w:val="24"/>
          <w:szCs w:val="24"/>
        </w:rPr>
        <w:t>月</w:t>
      </w:r>
      <w:r>
        <w:rPr>
          <w:rFonts w:hint="eastAsia" w:asciiTheme="minorEastAsia" w:hAnsiTheme="minorEastAsia" w:eastAsiaTheme="minorEastAsia" w:cstheme="minorEastAsia"/>
          <w:kern w:val="0"/>
          <w:sz w:val="24"/>
          <w:szCs w:val="24"/>
          <w:lang w:val="en-US" w:eastAsia="zh-CN"/>
        </w:rPr>
        <w:t>07</w:t>
      </w:r>
      <w:r>
        <w:rPr>
          <w:rFonts w:hint="eastAsia" w:asciiTheme="minorEastAsia" w:hAnsiTheme="minorEastAsia" w:eastAsiaTheme="minorEastAsia" w:cstheme="minorEastAsia"/>
          <w:kern w:val="0"/>
          <w:sz w:val="24"/>
          <w:szCs w:val="24"/>
        </w:rPr>
        <w:t>日～20</w:t>
      </w:r>
      <w:r>
        <w:rPr>
          <w:rFonts w:hint="eastAsia" w:asciiTheme="minorEastAsia" w:hAnsiTheme="minorEastAsia" w:eastAsiaTheme="minorEastAsia" w:cstheme="minorEastAsia"/>
          <w:kern w:val="0"/>
          <w:sz w:val="24"/>
          <w:szCs w:val="24"/>
          <w:lang w:val="en-US" w:eastAsia="zh-CN"/>
        </w:rPr>
        <w:t>20</w:t>
      </w:r>
      <w:r>
        <w:rPr>
          <w:rFonts w:hint="eastAsia" w:asciiTheme="minorEastAsia" w:hAnsiTheme="minorEastAsia" w:eastAsiaTheme="minorEastAsia" w:cstheme="minorEastAsia"/>
          <w:kern w:val="0"/>
          <w:sz w:val="24"/>
          <w:szCs w:val="24"/>
        </w:rPr>
        <w:t>年</w:t>
      </w:r>
      <w:r>
        <w:rPr>
          <w:rFonts w:hint="eastAsia" w:asciiTheme="minorEastAsia" w:hAnsiTheme="minorEastAsia" w:eastAsiaTheme="minorEastAsia" w:cstheme="minorEastAsia"/>
          <w:kern w:val="0"/>
          <w:sz w:val="24"/>
          <w:szCs w:val="24"/>
          <w:lang w:val="en-US" w:eastAsia="zh-CN"/>
        </w:rPr>
        <w:t>12</w:t>
      </w:r>
      <w:r>
        <w:rPr>
          <w:rFonts w:hint="eastAsia" w:asciiTheme="minorEastAsia" w:hAnsiTheme="minorEastAsia" w:eastAsiaTheme="minorEastAsia" w:cstheme="minorEastAsia"/>
          <w:kern w:val="0"/>
          <w:sz w:val="24"/>
          <w:szCs w:val="24"/>
        </w:rPr>
        <w:t>月</w:t>
      </w:r>
      <w:r>
        <w:rPr>
          <w:rFonts w:hint="eastAsia" w:asciiTheme="minorEastAsia" w:hAnsiTheme="minorEastAsia" w:eastAsiaTheme="minorEastAsia" w:cstheme="minorEastAsia"/>
          <w:kern w:val="0"/>
          <w:sz w:val="24"/>
          <w:szCs w:val="24"/>
          <w:lang w:val="en-US" w:eastAsia="zh-CN"/>
        </w:rPr>
        <w:t>31</w:t>
      </w:r>
      <w:r>
        <w:rPr>
          <w:rFonts w:hint="eastAsia" w:asciiTheme="minorEastAsia" w:hAnsiTheme="minorEastAsia" w:eastAsiaTheme="minorEastAsia" w:cstheme="minorEastAsia"/>
          <w:kern w:val="0"/>
          <w:sz w:val="24"/>
          <w:szCs w:val="24"/>
        </w:rPr>
        <w:t>日</w:t>
      </w:r>
    </w:p>
    <w:p>
      <w:pPr>
        <w:tabs>
          <w:tab w:val="left" w:pos="540"/>
        </w:tabs>
        <w:spacing w:line="360" w:lineRule="auto"/>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lang w:val="zh-CN"/>
        </w:rPr>
        <w:t>3.投标人资格要求</w:t>
      </w:r>
    </w:p>
    <w:p>
      <w:pPr>
        <w:tabs>
          <w:tab w:val="left" w:pos="540"/>
        </w:tabs>
        <w:spacing w:line="360" w:lineRule="auto"/>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lang w:val="zh-CN"/>
        </w:rPr>
        <w:t>3.1本次招标要求</w:t>
      </w:r>
    </w:p>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投标人须具备交通主管部门颁发的公路养护工程三类（甲级</w:t>
      </w:r>
      <w:r>
        <w:rPr>
          <w:rFonts w:hint="eastAsia" w:asciiTheme="minorEastAsia" w:hAnsiTheme="minorEastAsia" w:eastAsiaTheme="minorEastAsia" w:cstheme="minorEastAsia"/>
          <w:kern w:val="0"/>
          <w:sz w:val="24"/>
          <w:szCs w:val="24"/>
          <w:lang w:val="en-US" w:eastAsia="zh-CN"/>
        </w:rPr>
        <w:t>或</w:t>
      </w:r>
      <w:r>
        <w:rPr>
          <w:rFonts w:hint="eastAsia" w:asciiTheme="minorEastAsia" w:hAnsiTheme="minorEastAsia" w:eastAsiaTheme="minorEastAsia" w:cstheme="minorEastAsia"/>
          <w:kern w:val="0"/>
          <w:sz w:val="24"/>
          <w:szCs w:val="24"/>
        </w:rPr>
        <w:t>乙级）资质。</w:t>
      </w:r>
      <w:r>
        <w:rPr>
          <w:rFonts w:hint="eastAsia" w:asciiTheme="minorEastAsia" w:hAnsiTheme="minorEastAsia" w:eastAsiaTheme="minorEastAsia" w:cstheme="minorEastAsia"/>
          <w:kern w:val="0"/>
          <w:sz w:val="24"/>
          <w:szCs w:val="24"/>
          <w:highlight w:val="none"/>
        </w:rPr>
        <w:t>具备在近5年内累计完成过不少于30公里类似的小修保养</w:t>
      </w:r>
      <w:r>
        <w:rPr>
          <w:rFonts w:hint="eastAsia" w:asciiTheme="minorEastAsia" w:hAnsiTheme="minorEastAsia" w:eastAsiaTheme="minorEastAsia" w:cstheme="minorEastAsia"/>
          <w:kern w:val="0"/>
          <w:sz w:val="24"/>
          <w:szCs w:val="24"/>
          <w:highlight w:val="none"/>
          <w:lang w:val="en-US" w:eastAsia="zh-CN"/>
        </w:rPr>
        <w:t>或</w:t>
      </w:r>
      <w:r>
        <w:rPr>
          <w:rFonts w:hint="eastAsia" w:asciiTheme="minorEastAsia" w:hAnsiTheme="minorEastAsia" w:eastAsiaTheme="minorEastAsia" w:cstheme="minorEastAsia"/>
          <w:kern w:val="0"/>
          <w:sz w:val="24"/>
          <w:szCs w:val="24"/>
          <w:highlight w:val="none"/>
        </w:rPr>
        <w:t>日常养护工程经验，</w:t>
      </w:r>
      <w:r>
        <w:rPr>
          <w:rFonts w:hint="eastAsia" w:asciiTheme="minorEastAsia" w:hAnsiTheme="minorEastAsia" w:eastAsiaTheme="minorEastAsia" w:cstheme="minorEastAsia"/>
          <w:kern w:val="0"/>
          <w:sz w:val="24"/>
          <w:szCs w:val="24"/>
          <w:lang w:val="zh-CN"/>
        </w:rPr>
        <w:t>并在人员、设备、资金等方面具备相应的施工能力。</w:t>
      </w:r>
    </w:p>
    <w:p>
      <w:pPr>
        <w:tabs>
          <w:tab w:val="left" w:pos="540"/>
        </w:tabs>
        <w:spacing w:line="360" w:lineRule="auto"/>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lang w:val="zh-CN"/>
        </w:rPr>
        <w:t>3.2  本次招标不接受联合体投标。</w:t>
      </w:r>
    </w:p>
    <w:p>
      <w:pPr>
        <w:tabs>
          <w:tab w:val="left" w:pos="540"/>
        </w:tabs>
        <w:spacing w:line="360" w:lineRule="auto"/>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lang w:val="en-US" w:eastAsia="zh-CN"/>
        </w:rPr>
        <w:t>3.3</w:t>
      </w:r>
      <w:r>
        <w:rPr>
          <w:rFonts w:hint="eastAsia" w:asciiTheme="minorEastAsia" w:hAnsiTheme="minorEastAsia" w:eastAsiaTheme="minorEastAsia" w:cstheme="minorEastAsia"/>
          <w:kern w:val="0"/>
          <w:sz w:val="24"/>
          <w:szCs w:val="24"/>
          <w:lang w:val="zh-CN"/>
        </w:rPr>
        <w:t>与招标人存在利害关系可能影响招标公正性的单位，不得参加投标。单位负责人为同一人或存在控股、管理关系的不同单位，不得参加同一标段投标，否则，相关投标均无效。</w:t>
      </w:r>
    </w:p>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在“信用中国”网站(http://www.creditchina.gov.cn/)中被列入失信被执行人名单的投标人，不得参加投标，否则，相关投标均无效。</w:t>
      </w:r>
    </w:p>
    <w:p>
      <w:pPr>
        <w:tabs>
          <w:tab w:val="left" w:pos="540"/>
        </w:tabs>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本次施工招标采用资格后审方式的</w:t>
      </w:r>
      <w:r>
        <w:rPr>
          <w:rFonts w:hint="eastAsia" w:asciiTheme="minorEastAsia" w:hAnsiTheme="minorEastAsia" w:eastAsiaTheme="minorEastAsia" w:cstheme="minorEastAsia"/>
          <w:kern w:val="0"/>
          <w:sz w:val="24"/>
          <w:szCs w:val="24"/>
          <w:lang w:val="zh-CN"/>
        </w:rPr>
        <w:t>双信封技术评分最低标价法</w:t>
      </w:r>
      <w:r>
        <w:rPr>
          <w:rFonts w:hint="eastAsia" w:asciiTheme="minorEastAsia" w:hAnsiTheme="minorEastAsia" w:eastAsiaTheme="minorEastAsia" w:cstheme="minorEastAsia"/>
          <w:kern w:val="0"/>
          <w:sz w:val="24"/>
          <w:szCs w:val="24"/>
        </w:rPr>
        <w:t>。</w:t>
      </w:r>
    </w:p>
    <w:p>
      <w:pPr>
        <w:tabs>
          <w:tab w:val="left" w:pos="540"/>
        </w:tabs>
        <w:spacing w:line="360" w:lineRule="auto"/>
        <w:rPr>
          <w:rFonts w:hint="eastAsia" w:asciiTheme="minorEastAsia" w:hAnsiTheme="minorEastAsia" w:eastAsiaTheme="minorEastAsia" w:cstheme="minorEastAsia"/>
          <w:kern w:val="0"/>
          <w:sz w:val="24"/>
          <w:szCs w:val="24"/>
        </w:rPr>
      </w:pPr>
    </w:p>
    <w:p>
      <w:pPr>
        <w:tabs>
          <w:tab w:val="left" w:pos="540"/>
        </w:tabs>
        <w:spacing w:line="320" w:lineRule="exact"/>
        <w:rPr>
          <w:rFonts w:hint="eastAsia" w:asciiTheme="minorEastAsia" w:hAnsiTheme="minorEastAsia" w:eastAsiaTheme="minorEastAsia" w:cstheme="minorEastAsia"/>
          <w:kern w:val="0"/>
          <w:sz w:val="24"/>
          <w:szCs w:val="24"/>
        </w:rPr>
      </w:pPr>
    </w:p>
    <w:p>
      <w:pPr>
        <w:keepNext/>
        <w:keepLines/>
        <w:spacing w:line="360" w:lineRule="auto"/>
        <w:outlineLvl w:val="2"/>
        <w:rPr>
          <w:rFonts w:hint="eastAsia" w:asciiTheme="minorEastAsia" w:hAnsiTheme="minorEastAsia" w:eastAsiaTheme="minorEastAsia" w:cstheme="minorEastAsia"/>
          <w:b/>
          <w:bCs/>
          <w:sz w:val="24"/>
          <w:szCs w:val="24"/>
        </w:rPr>
      </w:pPr>
    </w:p>
    <w:p>
      <w:pPr>
        <w:keepNext/>
        <w:keepLines/>
        <w:spacing w:line="360" w:lineRule="auto"/>
        <w:outlineLvl w:val="2"/>
        <w:rPr>
          <w:rFonts w:hint="eastAsia" w:asciiTheme="minorEastAsia" w:hAnsiTheme="minorEastAsia" w:eastAsiaTheme="minorEastAsia" w:cstheme="minorEastAsia"/>
          <w:b/>
          <w:bCs/>
          <w:sz w:val="24"/>
          <w:szCs w:val="24"/>
        </w:rPr>
      </w:pPr>
    </w:p>
    <w:p>
      <w:pPr>
        <w:keepNext/>
        <w:keepLines/>
        <w:spacing w:line="360" w:lineRule="auto"/>
        <w:outlineLvl w:val="2"/>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4. 最低资格条件</w:t>
      </w:r>
    </w:p>
    <w:p>
      <w:pPr>
        <w:keepNext/>
        <w:keepLines/>
        <w:spacing w:before="260" w:after="260" w:line="416" w:lineRule="auto"/>
        <w:jc w:val="center"/>
        <w:outlineLvl w:val="2"/>
        <w:rPr>
          <w:rFonts w:hint="eastAsia" w:asciiTheme="minorEastAsia" w:hAnsiTheme="minorEastAsia" w:eastAsiaTheme="minorEastAsia" w:cstheme="minorEastAsia"/>
          <w:b/>
          <w:bCs/>
          <w:kern w:val="0"/>
          <w:sz w:val="24"/>
          <w:szCs w:val="24"/>
        </w:rPr>
      </w:pPr>
      <w:bookmarkStart w:id="0" w:name="_Toc452217049"/>
      <w:r>
        <w:rPr>
          <w:rFonts w:hint="eastAsia" w:asciiTheme="minorEastAsia" w:hAnsiTheme="minorEastAsia" w:eastAsiaTheme="minorEastAsia" w:cstheme="minorEastAsia"/>
          <w:b/>
          <w:bCs/>
          <w:kern w:val="0"/>
          <w:sz w:val="24"/>
          <w:szCs w:val="24"/>
        </w:rPr>
        <w:t>附录1 资格审查条件（资质最低要求）</w:t>
      </w:r>
      <w:bookmarkEnd w:id="0"/>
    </w:p>
    <w:tbl>
      <w:tblPr>
        <w:tblStyle w:val="7"/>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8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101" w:type="dxa"/>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标段</w:t>
            </w:r>
          </w:p>
        </w:tc>
        <w:tc>
          <w:tcPr>
            <w:tcW w:w="8079" w:type="dxa"/>
            <w:vAlign w:val="center"/>
          </w:tcPr>
          <w:p>
            <w:pPr>
              <w:ind w:firstLine="480" w:firstLineChars="20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101" w:type="dxa"/>
            <w:vAlign w:val="center"/>
          </w:tcPr>
          <w:p>
            <w:pPr>
              <w:tabs>
                <w:tab w:val="left" w:pos="540"/>
              </w:tabs>
              <w:spacing w:line="400" w:lineRule="exact"/>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01</w:t>
            </w:r>
          </w:p>
        </w:tc>
        <w:tc>
          <w:tcPr>
            <w:tcW w:w="8079" w:type="dxa"/>
            <w:vAlign w:val="center"/>
          </w:tcPr>
          <w:p>
            <w:pPr>
              <w:tabs>
                <w:tab w:val="left" w:pos="540"/>
              </w:tabs>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投标人须具备交通主管部门颁发的公路养护工程三类（甲级或乙级）资质。</w:t>
            </w:r>
          </w:p>
        </w:tc>
      </w:tr>
    </w:tbl>
    <w:p>
      <w:pPr>
        <w:pStyle w:val="2"/>
        <w:tabs>
          <w:tab w:val="left" w:pos="180"/>
        </w:tabs>
        <w:ind w:firstLine="472" w:firstLineChars="196"/>
        <w:jc w:val="center"/>
        <w:rPr>
          <w:rFonts w:hint="eastAsia" w:asciiTheme="minorEastAsia" w:hAnsiTheme="minorEastAsia" w:eastAsiaTheme="minorEastAsia" w:cstheme="minorEastAsia"/>
          <w:sz w:val="24"/>
          <w:szCs w:val="24"/>
          <w:lang w:val="zh-CN"/>
        </w:rPr>
      </w:pPr>
      <w:bookmarkStart w:id="1" w:name="_Toc17879445"/>
      <w:bookmarkStart w:id="2" w:name="_Toc452217050"/>
      <w:bookmarkStart w:id="3" w:name="_Toc287967393"/>
      <w:r>
        <w:rPr>
          <w:rFonts w:hint="eastAsia" w:asciiTheme="minorEastAsia" w:hAnsiTheme="minorEastAsia" w:eastAsiaTheme="minorEastAsia" w:cstheme="minorEastAsia"/>
          <w:sz w:val="24"/>
          <w:szCs w:val="24"/>
          <w:lang w:val="zh-CN"/>
        </w:rPr>
        <w:t>附录2   资格审查条件（财务最低要求）</w:t>
      </w:r>
      <w:bookmarkEnd w:id="1"/>
    </w:p>
    <w:tbl>
      <w:tblPr>
        <w:tblStyle w:val="7"/>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606"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9606" w:type="dxa"/>
          </w:tcPr>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p>
          <w:p>
            <w:pPr>
              <w:adjustRightInd w:val="0"/>
              <w:snapToGrid w:val="0"/>
              <w:spacing w:line="360"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资金信用</w:t>
            </w:r>
            <w:r>
              <w:rPr>
                <w:rStyle w:val="9"/>
                <w:rFonts w:hint="eastAsia" w:asciiTheme="minorEastAsia" w:hAnsiTheme="minorEastAsia" w:eastAsiaTheme="minorEastAsia" w:cstheme="minorEastAsia"/>
                <w:sz w:val="24"/>
                <w:szCs w:val="24"/>
              </w:rPr>
              <w:footnoteReference w:id="0"/>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Cs/>
                <w:sz w:val="24"/>
                <w:szCs w:val="24"/>
              </w:rPr>
              <w:t>投标人的经审计的</w:t>
            </w:r>
            <w:r>
              <w:rPr>
                <w:rFonts w:hint="eastAsia" w:asciiTheme="minorEastAsia" w:hAnsiTheme="minorEastAsia" w:eastAsiaTheme="minorEastAsia" w:cstheme="minorEastAsia"/>
                <w:b/>
                <w:bCs/>
                <w:sz w:val="24"/>
                <w:szCs w:val="24"/>
              </w:rPr>
              <w:t>2018年</w:t>
            </w:r>
            <w:r>
              <w:rPr>
                <w:rFonts w:hint="eastAsia" w:asciiTheme="minorEastAsia" w:hAnsiTheme="minorEastAsia" w:eastAsiaTheme="minorEastAsia" w:cstheme="minorEastAsia"/>
                <w:bCs/>
                <w:sz w:val="24"/>
                <w:szCs w:val="24"/>
              </w:rPr>
              <w:t>财务会计报告中流动资金（流动资金=流动资产－流动负债）与为本项目开具的银行信贷证明之和必须达到如下标准：</w:t>
            </w:r>
          </w:p>
          <w:p>
            <w:pPr>
              <w:autoSpaceDE w:val="0"/>
              <w:autoSpaceDN w:val="0"/>
              <w:adjustRightInd w:val="0"/>
              <w:spacing w:line="360" w:lineRule="auto"/>
              <w:ind w:firstLine="472" w:firstLineChars="196"/>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sz w:val="24"/>
                <w:szCs w:val="24"/>
                <w:u w:val="single"/>
              </w:rPr>
              <w:t>01标段:50万元</w:t>
            </w:r>
            <w:r>
              <w:rPr>
                <w:rFonts w:hint="eastAsia" w:asciiTheme="minorEastAsia" w:hAnsiTheme="minorEastAsia" w:eastAsiaTheme="minorEastAsia" w:cstheme="minorEastAsia"/>
                <w:bCs/>
                <w:sz w:val="24"/>
                <w:szCs w:val="24"/>
              </w:rPr>
              <w:t>。</w:t>
            </w:r>
          </w:p>
          <w:p>
            <w:pPr>
              <w:adjustRightInd w:val="0"/>
              <w:snapToGrid w:val="0"/>
              <w:spacing w:line="360"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银行信贷证明必须在地（市）级或以上级别的信誉良好的国有或股份制商业银行支行开具。</w:t>
            </w:r>
          </w:p>
        </w:tc>
      </w:tr>
    </w:tbl>
    <w:p>
      <w:pPr>
        <w:rPr>
          <w:rFonts w:hint="eastAsia" w:asciiTheme="minorEastAsia" w:hAnsiTheme="minorEastAsia" w:eastAsiaTheme="minorEastAsia" w:cstheme="minorEastAsia"/>
          <w:sz w:val="24"/>
          <w:szCs w:val="24"/>
          <w:lang w:val="zh-CN"/>
        </w:rPr>
      </w:pPr>
    </w:p>
    <w:p>
      <w:pPr>
        <w:pStyle w:val="2"/>
        <w:tabs>
          <w:tab w:val="left" w:pos="180"/>
        </w:tabs>
        <w:ind w:firstLine="472" w:firstLineChars="196"/>
        <w:jc w:val="center"/>
        <w:rPr>
          <w:rFonts w:hint="eastAsia" w:asciiTheme="minorEastAsia" w:hAnsiTheme="minorEastAsia" w:eastAsiaTheme="minorEastAsia" w:cstheme="minorEastAsia"/>
          <w:sz w:val="24"/>
          <w:szCs w:val="24"/>
          <w:lang w:val="zh-CN"/>
        </w:rPr>
      </w:pPr>
      <w:bookmarkStart w:id="4" w:name="_Toc17879446"/>
      <w:r>
        <w:rPr>
          <w:rFonts w:hint="eastAsia" w:asciiTheme="minorEastAsia" w:hAnsiTheme="minorEastAsia" w:eastAsiaTheme="minorEastAsia" w:cstheme="minorEastAsia"/>
          <w:sz w:val="24"/>
          <w:szCs w:val="24"/>
          <w:lang w:val="zh-CN"/>
        </w:rPr>
        <w:t>附录3   资格审查条件（业绩最低要求）</w:t>
      </w:r>
      <w:bookmarkEnd w:id="4"/>
    </w:p>
    <w:tbl>
      <w:tblPr>
        <w:tblStyle w:val="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528" w:hRule="atLeast"/>
        </w:trPr>
        <w:tc>
          <w:tcPr>
            <w:tcW w:w="9286" w:type="dxa"/>
            <w:tcBorders>
              <w:bottom w:val="single" w:color="auto" w:sz="4" w:space="0"/>
            </w:tcBorders>
          </w:tcPr>
          <w:p>
            <w:pPr>
              <w:tabs>
                <w:tab w:val="left" w:pos="1950"/>
              </w:tabs>
              <w:autoSpaceDE w:val="0"/>
              <w:autoSpaceDN w:val="0"/>
              <w:adjustRightInd w:val="0"/>
              <w:spacing w:line="40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业 绩 要 求 </w:t>
            </w:r>
          </w:p>
        </w:tc>
      </w:tr>
      <w:tr>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248" w:hRule="atLeast"/>
        </w:trPr>
        <w:tc>
          <w:tcPr>
            <w:tcW w:w="9286" w:type="dxa"/>
            <w:tcBorders>
              <w:bottom w:val="single" w:color="auto" w:sz="4" w:space="0"/>
            </w:tcBorders>
            <w:vAlign w:val="center"/>
          </w:tcPr>
          <w:p>
            <w:pPr>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具备在近5年内累计完成过不少于30公里类似的小修保养</w:t>
            </w:r>
            <w:r>
              <w:rPr>
                <w:rFonts w:hint="eastAsia" w:asciiTheme="minorEastAsia" w:hAnsiTheme="minorEastAsia" w:eastAsiaTheme="minorEastAsia" w:cstheme="minorEastAsia"/>
                <w:sz w:val="24"/>
                <w:szCs w:val="24"/>
                <w:highlight w:val="none"/>
                <w:lang w:val="en-US" w:eastAsia="zh-CN"/>
              </w:rPr>
              <w:t>或</w:t>
            </w:r>
            <w:r>
              <w:rPr>
                <w:rFonts w:hint="eastAsia" w:asciiTheme="minorEastAsia" w:hAnsiTheme="minorEastAsia" w:eastAsiaTheme="minorEastAsia" w:cstheme="minorEastAsia"/>
                <w:sz w:val="24"/>
                <w:szCs w:val="24"/>
                <w:highlight w:val="none"/>
              </w:rPr>
              <w:t>日常养护工程经验，</w:t>
            </w:r>
            <w:r>
              <w:rPr>
                <w:rFonts w:hint="eastAsia" w:asciiTheme="minorEastAsia" w:hAnsiTheme="minorEastAsia" w:eastAsiaTheme="minorEastAsia" w:cstheme="minorEastAsia"/>
                <w:sz w:val="24"/>
                <w:szCs w:val="24"/>
              </w:rPr>
              <w:t>并在人员、设备、资金等方面具备相应的施工能力。</w:t>
            </w:r>
          </w:p>
        </w:tc>
      </w:tr>
    </w:tbl>
    <w:p>
      <w:pPr>
        <w:pStyle w:val="2"/>
        <w:tabs>
          <w:tab w:val="left" w:pos="180"/>
        </w:tabs>
        <w:jc w:val="both"/>
        <w:rPr>
          <w:rFonts w:hint="eastAsia" w:asciiTheme="minorEastAsia" w:hAnsiTheme="minorEastAsia" w:eastAsiaTheme="minorEastAsia" w:cstheme="minorEastAsia"/>
          <w:sz w:val="24"/>
          <w:szCs w:val="24"/>
          <w:lang w:val="zh-CN"/>
        </w:rPr>
      </w:pPr>
      <w:bookmarkStart w:id="5" w:name="_Toc17879447"/>
    </w:p>
    <w:p>
      <w:pPr>
        <w:pStyle w:val="2"/>
        <w:tabs>
          <w:tab w:val="left" w:pos="180"/>
        </w:tabs>
        <w:jc w:val="center"/>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附录4   资格审查条件（信誉最低要求）</w:t>
      </w:r>
      <w:bookmarkEnd w:id="5"/>
    </w:p>
    <w:tbl>
      <w:tblPr>
        <w:tblStyle w:val="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589" w:hRule="atLeast"/>
        </w:trPr>
        <w:tc>
          <w:tcPr>
            <w:tcW w:w="9286" w:type="dxa"/>
          </w:tcPr>
          <w:p>
            <w:pPr>
              <w:tabs>
                <w:tab w:val="left" w:pos="1950"/>
              </w:tabs>
              <w:autoSpaceDE w:val="0"/>
              <w:autoSpaceDN w:val="0"/>
              <w:adjustRightInd w:val="0"/>
              <w:spacing w:line="360" w:lineRule="auto"/>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 誉 要 求</w:t>
            </w:r>
          </w:p>
        </w:tc>
      </w:tr>
      <w:tr>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1072" w:hRule="atLeast"/>
        </w:trPr>
        <w:tc>
          <w:tcPr>
            <w:tcW w:w="9286" w:type="dxa"/>
            <w:vAlign w:val="center"/>
          </w:tcPr>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lang w:val="zh-CN"/>
              </w:rPr>
              <w:t>投标人不得存在以下情形：</w:t>
            </w:r>
          </w:p>
          <w:p>
            <w:pPr>
              <w:adjustRightInd w:val="0"/>
              <w:snapToGrid w:val="0"/>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（1）没有被吉林省及以上建设主管部门或交通运输主管部门取消本项目所在地的投标资格或禁止进入吉林省建设市场且处于有效期内；</w:t>
            </w:r>
          </w:p>
          <w:p>
            <w:pPr>
              <w:adjustRightInd w:val="0"/>
              <w:snapToGrid w:val="0"/>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（2）没有被责令停业，暂扣或吊销执照，或吊销资质证书；</w:t>
            </w:r>
          </w:p>
          <w:p>
            <w:pPr>
              <w:adjustRightInd w:val="0"/>
              <w:snapToGrid w:val="0"/>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（3）没有进入清算程序，或被宣告破产，或其他丧失履约能力的情形；</w:t>
            </w:r>
          </w:p>
          <w:p>
            <w:pPr>
              <w:adjustRightInd w:val="0"/>
              <w:snapToGrid w:val="0"/>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（4）没有在国家企业信用信息公示系统（</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"http://www.gsxt.gov.cn/)%e4%b8%ad%e8%a2%ab%e5%88%97%e5%85%a5%e4%b8%a5%e9%87%8d%e8%bf%9d%e6%b3%95"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http://www.gsxt.gov.cn/)中被列入严重违法</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失信企业名单；</w:t>
            </w:r>
          </w:p>
          <w:p>
            <w:pPr>
              <w:adjustRightInd w:val="0"/>
              <w:snapToGrid w:val="0"/>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（5）没有在“信用中国”网站（</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"http://www.creditchina.gov.cn/)%e4%b8%ad%e8%a2%ab%e5%88%97%e5%85%a5%e5%a4%b1%e4%bf%a1%e8%a2%ab%e6%89%a7%e8%a1%8c"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http://www.creditchina.gov.cn/)中被列入失信被执行</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人名单；</w:t>
            </w:r>
          </w:p>
          <w:p>
            <w:pPr>
              <w:autoSpaceDE w:val="0"/>
              <w:autoSpaceDN w:val="0"/>
              <w:adjustRightInd w:val="0"/>
              <w:spacing w:line="40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（6）投标人或其法定代表人、拟委任的项目经理在近三年内没有行贿犯罪行为的(行贿犯罪行为的认定以检察机关职务犯罪预防部门出具的查询结果为准或</w:t>
            </w:r>
            <w:r>
              <w:rPr>
                <w:rFonts w:hint="eastAsia" w:asciiTheme="minorEastAsia" w:hAnsiTheme="minorEastAsia" w:eastAsiaTheme="minorEastAsia" w:cstheme="minorEastAsia"/>
                <w:kern w:val="0"/>
                <w:sz w:val="24"/>
                <w:szCs w:val="24"/>
                <w:lang w:val="zh-CN"/>
              </w:rPr>
              <w:t>在</w:t>
            </w:r>
            <w:r>
              <w:rPr>
                <w:rFonts w:hint="eastAsia" w:asciiTheme="minorEastAsia" w:hAnsiTheme="minorEastAsia" w:eastAsiaTheme="minorEastAsia" w:cstheme="minorEastAsia"/>
                <w:b/>
                <w:kern w:val="0"/>
                <w:sz w:val="24"/>
                <w:szCs w:val="24"/>
                <w:lang w:val="zh-CN"/>
              </w:rPr>
              <w:t>中国裁判文书网</w:t>
            </w:r>
            <w:r>
              <w:rPr>
                <w:rFonts w:hint="eastAsia" w:asciiTheme="minorEastAsia" w:hAnsiTheme="minorEastAsia" w:eastAsiaTheme="minorEastAsia" w:cstheme="minorEastAsia"/>
                <w:b/>
                <w:kern w:val="0"/>
                <w:sz w:val="24"/>
                <w:szCs w:val="24"/>
              </w:rPr>
              <w:t>http://wenshu.court.gov.cn/</w:t>
            </w:r>
            <w:r>
              <w:rPr>
                <w:rFonts w:hint="eastAsia" w:asciiTheme="minorEastAsia" w:hAnsiTheme="minorEastAsia" w:eastAsiaTheme="minorEastAsia" w:cstheme="minorEastAsia"/>
                <w:kern w:val="0"/>
                <w:sz w:val="24"/>
                <w:szCs w:val="24"/>
                <w:lang w:val="zh-CN"/>
              </w:rPr>
              <w:t>查询</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kern w:val="0"/>
                <w:sz w:val="24"/>
                <w:szCs w:val="24"/>
                <w:lang w:val="zh-CN"/>
              </w:rPr>
              <w:t>查询最短期限从</w:t>
            </w:r>
            <w:r>
              <w:rPr>
                <w:rFonts w:hint="eastAsia" w:asciiTheme="minorEastAsia" w:hAnsiTheme="minorEastAsia" w:eastAsiaTheme="minorEastAsia" w:cstheme="minorEastAsia"/>
                <w:kern w:val="0"/>
                <w:sz w:val="24"/>
                <w:szCs w:val="24"/>
              </w:rPr>
              <w:t>2016</w:t>
            </w:r>
            <w:r>
              <w:rPr>
                <w:rFonts w:hint="eastAsia" w:asciiTheme="minorEastAsia" w:hAnsiTheme="minorEastAsia" w:eastAsiaTheme="minorEastAsia" w:cstheme="minorEastAsia"/>
                <w:kern w:val="0"/>
                <w:sz w:val="24"/>
                <w:szCs w:val="24"/>
                <w:lang w:val="zh-CN"/>
              </w:rPr>
              <w:t>年</w:t>
            </w: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zh-CN"/>
              </w:rPr>
              <w:t>月</w:t>
            </w: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zh-CN"/>
              </w:rPr>
              <w:t>日至本招标文件发售之日</w:t>
            </w:r>
            <w:r>
              <w:rPr>
                <w:rFonts w:hint="eastAsia" w:asciiTheme="minorEastAsia" w:hAnsiTheme="minorEastAsia" w:eastAsiaTheme="minorEastAsia" w:cstheme="minorEastAsia"/>
                <w:sz w:val="24"/>
                <w:szCs w:val="24"/>
                <w:lang w:bidi="en-US"/>
              </w:rPr>
              <w:t>）。</w:t>
            </w:r>
          </w:p>
        </w:tc>
      </w:tr>
    </w:tbl>
    <w:p>
      <w:pPr>
        <w:pStyle w:val="2"/>
        <w:tabs>
          <w:tab w:val="left" w:pos="180"/>
        </w:tabs>
        <w:jc w:val="center"/>
        <w:rPr>
          <w:rFonts w:hint="eastAsia" w:asciiTheme="minorEastAsia" w:hAnsiTheme="minorEastAsia" w:eastAsiaTheme="minorEastAsia" w:cstheme="minorEastAsia"/>
          <w:sz w:val="24"/>
          <w:szCs w:val="24"/>
          <w:lang w:val="zh-CN"/>
        </w:rPr>
      </w:pPr>
      <w:bookmarkStart w:id="6" w:name="_Toc17879448"/>
      <w:r>
        <w:rPr>
          <w:rFonts w:hint="eastAsia" w:asciiTheme="minorEastAsia" w:hAnsiTheme="minorEastAsia" w:eastAsiaTheme="minorEastAsia" w:cstheme="minorEastAsia"/>
          <w:sz w:val="24"/>
          <w:szCs w:val="24"/>
          <w:lang w:val="zh-CN"/>
        </w:rPr>
        <w:t>附录5   资格审查条件（</w:t>
      </w:r>
      <w:r>
        <w:rPr>
          <w:rFonts w:hint="eastAsia" w:asciiTheme="minorEastAsia" w:hAnsiTheme="minorEastAsia" w:eastAsiaTheme="minorEastAsia" w:cstheme="minorEastAsia"/>
          <w:w w:val="90"/>
          <w:sz w:val="24"/>
          <w:szCs w:val="24"/>
          <w:lang w:val="zh-CN"/>
        </w:rPr>
        <w:t>项目经理和项目总工最低要求</w:t>
      </w:r>
      <w:r>
        <w:rPr>
          <w:rFonts w:hint="eastAsia" w:asciiTheme="minorEastAsia" w:hAnsiTheme="minorEastAsia" w:eastAsiaTheme="minorEastAsia" w:cstheme="minorEastAsia"/>
          <w:sz w:val="24"/>
          <w:szCs w:val="24"/>
          <w:lang w:val="zh-CN"/>
        </w:rPr>
        <w:t>）</w:t>
      </w:r>
      <w:bookmarkEnd w:id="6"/>
    </w:p>
    <w:tbl>
      <w:tblPr>
        <w:tblStyle w:val="7"/>
        <w:tblW w:w="93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6"/>
        <w:gridCol w:w="817"/>
        <w:gridCol w:w="3627"/>
        <w:gridCol w:w="3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246" w:type="dxa"/>
            <w:vAlign w:val="center"/>
          </w:tcPr>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   员</w:t>
            </w:r>
          </w:p>
        </w:tc>
        <w:tc>
          <w:tcPr>
            <w:tcW w:w="817" w:type="dxa"/>
            <w:vAlign w:val="center"/>
          </w:tcPr>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  量</w:t>
            </w:r>
          </w:p>
        </w:tc>
        <w:tc>
          <w:tcPr>
            <w:tcW w:w="3627" w:type="dxa"/>
            <w:vAlign w:val="center"/>
          </w:tcPr>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 格 要 求</w:t>
            </w:r>
          </w:p>
        </w:tc>
        <w:tc>
          <w:tcPr>
            <w:tcW w:w="3627" w:type="dxa"/>
          </w:tcPr>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1246" w:type="dxa"/>
            <w:vAlign w:val="center"/>
          </w:tcPr>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项目经理</w:t>
            </w:r>
          </w:p>
        </w:tc>
        <w:tc>
          <w:tcPr>
            <w:tcW w:w="817" w:type="dxa"/>
            <w:vAlign w:val="center"/>
          </w:tcPr>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3627" w:type="dxa"/>
            <w:vAlign w:val="center"/>
          </w:tcPr>
          <w:p>
            <w:pPr>
              <w:spacing w:line="400" w:lineRule="exact"/>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投标自有人员，</w:t>
            </w:r>
            <w:r>
              <w:rPr>
                <w:rFonts w:hint="eastAsia" w:asciiTheme="minorEastAsia" w:hAnsiTheme="minorEastAsia" w:eastAsiaTheme="minorEastAsia" w:cstheme="minorEastAsia"/>
                <w:sz w:val="24"/>
                <w:szCs w:val="24"/>
              </w:rPr>
              <w:t>具有中级技术职称，并作为项目经理至少提供一项类似小修保养</w:t>
            </w:r>
            <w:r>
              <w:rPr>
                <w:rFonts w:hint="eastAsia" w:asciiTheme="minorEastAsia" w:hAnsiTheme="minorEastAsia" w:eastAsiaTheme="minorEastAsia" w:cstheme="minorEastAsia"/>
                <w:sz w:val="24"/>
                <w:szCs w:val="24"/>
                <w:lang w:val="en-US" w:eastAsia="zh-CN"/>
              </w:rPr>
              <w:t>或日常养护</w:t>
            </w:r>
            <w:r>
              <w:rPr>
                <w:rFonts w:hint="eastAsia" w:asciiTheme="minorEastAsia" w:hAnsiTheme="minorEastAsia" w:eastAsiaTheme="minorEastAsia" w:cstheme="minorEastAsia"/>
                <w:sz w:val="24"/>
                <w:szCs w:val="24"/>
              </w:rPr>
              <w:t>工程施工管理工作业绩。</w:t>
            </w:r>
            <w:r>
              <w:rPr>
                <w:rFonts w:hint="eastAsia" w:asciiTheme="minorEastAsia" w:hAnsiTheme="minorEastAsia" w:eastAsiaTheme="minorEastAsia" w:cstheme="minorEastAsia"/>
                <w:bCs/>
                <w:sz w:val="24"/>
                <w:szCs w:val="24"/>
              </w:rPr>
              <w:t>。</w:t>
            </w:r>
          </w:p>
        </w:tc>
        <w:tc>
          <w:tcPr>
            <w:tcW w:w="3627" w:type="dxa"/>
            <w:vMerge w:val="restart"/>
            <w:vAlign w:val="center"/>
          </w:tcPr>
          <w:p>
            <w:pPr>
              <w:spacing w:line="400" w:lineRule="exact"/>
              <w:ind w:firstLine="480" w:firstLineChars="20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无在岗项目（指目前未在其他项目上任职，或虽在其他项目上任职但本项目中标后能够从该项目撤离）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246" w:type="dxa"/>
            <w:vAlign w:val="center"/>
          </w:tcPr>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项目总工</w:t>
            </w:r>
          </w:p>
        </w:tc>
        <w:tc>
          <w:tcPr>
            <w:tcW w:w="817" w:type="dxa"/>
            <w:vAlign w:val="center"/>
          </w:tcPr>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3627" w:type="dxa"/>
            <w:vAlign w:val="center"/>
          </w:tcPr>
          <w:p>
            <w:pPr>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投标自有人员，</w:t>
            </w:r>
            <w:r>
              <w:rPr>
                <w:rFonts w:hint="eastAsia" w:asciiTheme="minorEastAsia" w:hAnsiTheme="minorEastAsia" w:eastAsiaTheme="minorEastAsia" w:cstheme="minorEastAsia"/>
                <w:sz w:val="24"/>
                <w:szCs w:val="24"/>
              </w:rPr>
              <w:t>具有中级技术职称，并作为项目总工至少提供一项类似小修保养</w:t>
            </w:r>
            <w:r>
              <w:rPr>
                <w:rFonts w:hint="eastAsia" w:asciiTheme="minorEastAsia" w:hAnsiTheme="minorEastAsia" w:eastAsiaTheme="minorEastAsia" w:cstheme="minorEastAsia"/>
                <w:sz w:val="24"/>
                <w:szCs w:val="24"/>
                <w:lang w:val="en-US" w:eastAsia="zh-CN"/>
              </w:rPr>
              <w:t>或日常养护</w:t>
            </w:r>
            <w:r>
              <w:rPr>
                <w:rFonts w:hint="eastAsia" w:asciiTheme="minorEastAsia" w:hAnsiTheme="minorEastAsia" w:eastAsiaTheme="minorEastAsia" w:cstheme="minorEastAsia"/>
                <w:sz w:val="24"/>
                <w:szCs w:val="24"/>
              </w:rPr>
              <w:t>工程施工管理工作业绩。</w:t>
            </w:r>
          </w:p>
        </w:tc>
        <w:tc>
          <w:tcPr>
            <w:tcW w:w="3627" w:type="dxa"/>
            <w:vMerge w:val="continue"/>
          </w:tcPr>
          <w:p>
            <w:pPr>
              <w:autoSpaceDE w:val="0"/>
              <w:autoSpaceDN w:val="0"/>
              <w:adjustRightInd w:val="0"/>
              <w:spacing w:line="400" w:lineRule="exact"/>
              <w:ind w:firstLine="480" w:firstLineChars="200"/>
              <w:rPr>
                <w:rFonts w:hint="eastAsia" w:asciiTheme="minorEastAsia" w:hAnsiTheme="minorEastAsia" w:eastAsiaTheme="minorEastAsia" w:cstheme="minorEastAsia"/>
                <w:bCs/>
                <w:sz w:val="24"/>
                <w:szCs w:val="24"/>
              </w:rPr>
            </w:pPr>
          </w:p>
        </w:tc>
      </w:tr>
    </w:tbl>
    <w:p>
      <w:pPr>
        <w:spacing w:line="400" w:lineRule="exact"/>
        <w:rPr>
          <w:rFonts w:hint="eastAsia" w:ascii="黑体" w:hAnsi="黑体" w:eastAsia="黑体" w:cs="黑体"/>
          <w:sz w:val="21"/>
          <w:szCs w:val="21"/>
        </w:rPr>
      </w:pPr>
      <w:r>
        <w:rPr>
          <w:rFonts w:hint="eastAsia" w:ascii="黑体" w:hAnsi="黑体" w:eastAsia="黑体" w:cs="黑体"/>
          <w:sz w:val="21"/>
          <w:szCs w:val="21"/>
        </w:rPr>
        <w:t>注：</w:t>
      </w:r>
    </w:p>
    <w:p>
      <w:pPr>
        <w:numPr>
          <w:ilvl w:val="0"/>
          <w:numId w:val="1"/>
        </w:numPr>
        <w:spacing w:line="360" w:lineRule="exact"/>
        <w:ind w:firstLine="420"/>
        <w:rPr>
          <w:rFonts w:hint="eastAsia" w:ascii="黑体" w:hAnsi="黑体" w:eastAsia="黑体" w:cs="黑体"/>
          <w:sz w:val="21"/>
          <w:szCs w:val="21"/>
        </w:rPr>
      </w:pPr>
      <w:r>
        <w:rPr>
          <w:rFonts w:hint="eastAsia" w:ascii="黑体" w:hAnsi="黑体" w:eastAsia="黑体" w:cs="黑体"/>
          <w:sz w:val="21"/>
          <w:szCs w:val="21"/>
        </w:rPr>
        <w:t>本表所列人员不得互相兼职。</w:t>
      </w:r>
    </w:p>
    <w:p>
      <w:pPr>
        <w:numPr>
          <w:ilvl w:val="0"/>
          <w:numId w:val="0"/>
        </w:numPr>
        <w:spacing w:line="360" w:lineRule="exact"/>
        <w:ind w:firstLine="420" w:firstLineChars="200"/>
        <w:rPr>
          <w:rFonts w:hint="eastAsia" w:ascii="黑体" w:hAnsi="黑体" w:eastAsia="黑体" w:cs="黑体"/>
          <w:b/>
          <w:bCs/>
          <w:kern w:val="0"/>
          <w:sz w:val="21"/>
          <w:szCs w:val="21"/>
        </w:rPr>
      </w:pPr>
      <w:r>
        <w:rPr>
          <w:rFonts w:hint="eastAsia" w:ascii="黑体" w:hAnsi="黑体" w:eastAsia="黑体" w:cs="黑体"/>
          <w:sz w:val="21"/>
          <w:szCs w:val="21"/>
          <w:lang w:val="zh-CN"/>
        </w:rPr>
        <w:t>2、“投标人自有人员”指在投标人处缴纳社保的人员，如果投标人属事业法人单位，则由投标人的上级行政主管部门出具拟委任的项目经理和项目总工是投标人单位职工的有效书面证明材料。</w:t>
      </w:r>
    </w:p>
    <w:bookmarkEnd w:id="2"/>
    <w:bookmarkEnd w:id="3"/>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keepNext/>
        <w:keepLines/>
        <w:spacing w:line="360" w:lineRule="auto"/>
        <w:outlineLvl w:val="2"/>
        <w:rPr>
          <w:rFonts w:hint="eastAsia" w:asciiTheme="minorEastAsia" w:hAnsiTheme="minorEastAsia" w:eastAsiaTheme="minorEastAsia" w:cstheme="minorEastAsia"/>
          <w:b/>
          <w:bCs/>
          <w:sz w:val="24"/>
          <w:szCs w:val="24"/>
        </w:rPr>
      </w:pPr>
      <w:bookmarkStart w:id="7" w:name="_Toc444693688"/>
      <w:bookmarkStart w:id="8" w:name="_Toc444693715"/>
      <w:bookmarkStart w:id="9" w:name="_Toc441605620"/>
      <w:r>
        <w:rPr>
          <w:rFonts w:hint="eastAsia" w:asciiTheme="minorEastAsia" w:hAnsiTheme="minorEastAsia" w:eastAsiaTheme="minorEastAsia" w:cstheme="minorEastAsia"/>
          <w:b/>
          <w:bCs/>
          <w:sz w:val="24"/>
          <w:szCs w:val="24"/>
        </w:rPr>
        <w:t>5. 评标办法</w:t>
      </w:r>
      <w:bookmarkEnd w:id="7"/>
    </w:p>
    <w:p>
      <w:pPr>
        <w:adjustRightInd w:val="0"/>
        <w:snapToGrid w:val="0"/>
        <w:spacing w:before="62" w:beforeLines="20" w:after="62" w:afterLines="20" w:line="400" w:lineRule="exact"/>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本次招标采用</w:t>
      </w:r>
      <w:r>
        <w:rPr>
          <w:rFonts w:hint="eastAsia" w:asciiTheme="minorEastAsia" w:hAnsiTheme="minorEastAsia" w:eastAsiaTheme="minorEastAsia" w:cstheme="minorEastAsia"/>
          <w:b/>
          <w:sz w:val="24"/>
          <w:szCs w:val="24"/>
        </w:rPr>
        <w:t>资格后审方式</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b/>
          <w:sz w:val="24"/>
          <w:szCs w:val="24"/>
        </w:rPr>
        <w:t>双信封技术评分最低标价法。</w:t>
      </w:r>
    </w:p>
    <w:bookmarkEnd w:id="8"/>
    <w:bookmarkEnd w:id="9"/>
    <w:p>
      <w:pPr>
        <w:pStyle w:val="3"/>
        <w:keepNext w:val="0"/>
        <w:keepLines w:val="0"/>
        <w:spacing w:before="0" w:after="0" w:line="415" w:lineRule="auto"/>
        <w:jc w:val="left"/>
        <w:rPr>
          <w:rFonts w:hint="eastAsia" w:asciiTheme="minorEastAsia" w:hAnsiTheme="minorEastAsia" w:eastAsiaTheme="minorEastAsia" w:cstheme="minorEastAsia"/>
          <w:b w:val="0"/>
          <w:bCs w:val="0"/>
          <w:sz w:val="24"/>
          <w:szCs w:val="24"/>
        </w:rPr>
      </w:pPr>
      <w:bookmarkStart w:id="10" w:name="_Toc511833196"/>
      <w:bookmarkStart w:id="11" w:name="_Toc197951592"/>
      <w:bookmarkStart w:id="12" w:name="_Toc441605621"/>
      <w:bookmarkStart w:id="13" w:name="_Toc197960497"/>
      <w:bookmarkStart w:id="14" w:name="_Toc197965612"/>
      <w:bookmarkStart w:id="15" w:name="_Toc197967128"/>
      <w:bookmarkStart w:id="16" w:name="_Toc197967274"/>
      <w:bookmarkStart w:id="17" w:name="_Toc197960549"/>
      <w:bookmarkStart w:id="18" w:name="_Toc197950686"/>
      <w:bookmarkStart w:id="19" w:name="_Toc197950807"/>
      <w:bookmarkStart w:id="20" w:name="_Toc453157002"/>
      <w:r>
        <w:rPr>
          <w:rFonts w:hint="eastAsia" w:asciiTheme="minorEastAsia" w:hAnsiTheme="minorEastAsia" w:eastAsiaTheme="minorEastAsia" w:cstheme="minorEastAsia"/>
          <w:b w:val="0"/>
          <w:bCs w:val="0"/>
          <w:sz w:val="24"/>
          <w:szCs w:val="24"/>
        </w:rPr>
        <w:t>评标办法前附表</w:t>
      </w:r>
      <w:bookmarkEnd w:id="10"/>
    </w:p>
    <w:tbl>
      <w:tblPr>
        <w:tblStyle w:val="7"/>
        <w:tblpPr w:leftFromText="180" w:rightFromText="180" w:vertAnchor="text" w:horzAnchor="page" w:tblpX="1414" w:tblpY="733"/>
        <w:tblOverlap w:val="never"/>
        <w:tblW w:w="9487"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vAlign w:val="center"/>
          </w:tcPr>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条款号</w:t>
            </w:r>
          </w:p>
        </w:tc>
        <w:tc>
          <w:tcPr>
            <w:tcW w:w="7159" w:type="dxa"/>
            <w:tcBorders>
              <w:top w:val="single" w:color="auto" w:sz="4" w:space="0"/>
            </w:tcBorders>
            <w:vAlign w:val="center"/>
          </w:tcPr>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vAlign w:val="center"/>
          </w:tcPr>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1</w:t>
            </w:r>
          </w:p>
        </w:tc>
        <w:tc>
          <w:tcPr>
            <w:tcW w:w="1394" w:type="dxa"/>
            <w:vAlign w:val="center"/>
          </w:tcPr>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评标办法</w:t>
            </w:r>
          </w:p>
        </w:tc>
        <w:tc>
          <w:tcPr>
            <w:tcW w:w="7159" w:type="dxa"/>
            <w:vAlign w:val="center"/>
          </w:tcPr>
          <w:p>
            <w:pPr>
              <w:autoSpaceDE w:val="0"/>
              <w:autoSpaceDN w:val="0"/>
              <w:adjustRightInd w:val="0"/>
              <w:spacing w:line="3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本款修改为：</w:t>
            </w:r>
          </w:p>
          <w:p>
            <w:pPr>
              <w:autoSpaceDE w:val="0"/>
              <w:autoSpaceDN w:val="0"/>
              <w:adjustRightInd w:val="0"/>
              <w:spacing w:line="320" w:lineRule="exact"/>
              <w:ind w:firstLine="480" w:firstLineChars="200"/>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sz w:val="24"/>
                <w:szCs w:val="24"/>
              </w:rPr>
              <w:t>本次评标采用</w:t>
            </w:r>
            <w:r>
              <w:rPr>
                <w:rFonts w:hint="eastAsia" w:asciiTheme="minorEastAsia" w:hAnsiTheme="minorEastAsia" w:eastAsiaTheme="minorEastAsia" w:cstheme="minorEastAsia"/>
                <w:b/>
                <w:sz w:val="24"/>
                <w:szCs w:val="24"/>
              </w:rPr>
              <w:t>双信封技术评分最低标价法</w:t>
            </w:r>
            <w:r>
              <w:rPr>
                <w:rFonts w:hint="eastAsia" w:asciiTheme="minorEastAsia" w:hAnsiTheme="minorEastAsia" w:eastAsiaTheme="minorEastAsia" w:cstheme="minorEastAsia"/>
                <w:sz w:val="24"/>
                <w:szCs w:val="24"/>
              </w:rPr>
              <w:t>。评标委员会对通过投标文件第一个信封（商务及技术文件）评审，综合评分前三名的</w:t>
            </w:r>
            <w:r>
              <w:rPr>
                <w:rFonts w:hint="eastAsia" w:asciiTheme="minorEastAsia" w:hAnsiTheme="minorEastAsia" w:eastAsiaTheme="minorEastAsia" w:cstheme="minorEastAsia"/>
                <w:kern w:val="0"/>
                <w:sz w:val="24"/>
                <w:szCs w:val="24"/>
                <w:lang w:val="zh-CN"/>
              </w:rPr>
              <w:t>投标文件</w:t>
            </w:r>
            <w:r>
              <w:rPr>
                <w:rFonts w:hint="eastAsia" w:asciiTheme="minorEastAsia" w:hAnsiTheme="minorEastAsia" w:eastAsiaTheme="minorEastAsia" w:cstheme="minorEastAsia"/>
                <w:sz w:val="24"/>
                <w:szCs w:val="24"/>
              </w:rPr>
              <w:t>第二个信封（报价文件）进行开标，按评标价由低到高的顺序</w:t>
            </w:r>
            <w:r>
              <w:rPr>
                <w:rFonts w:hint="eastAsia" w:asciiTheme="minorEastAsia" w:hAnsiTheme="minorEastAsia" w:eastAsiaTheme="minorEastAsia" w:cstheme="minorEastAsia"/>
                <w:b/>
                <w:sz w:val="24"/>
                <w:szCs w:val="24"/>
              </w:rPr>
              <w:t>推荐一名中标候选人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Cs/>
                <w:sz w:val="24"/>
                <w:szCs w:val="24"/>
                <w:lang w:val="zh-CN"/>
              </w:rPr>
              <w:t>但投标报价低于其成本的除外。</w:t>
            </w:r>
            <w:r>
              <w:rPr>
                <w:rFonts w:hint="eastAsia" w:asciiTheme="minorEastAsia" w:hAnsiTheme="minorEastAsia" w:eastAsiaTheme="minorEastAsia" w:cstheme="minorEastAsia"/>
                <w:sz w:val="24"/>
                <w:szCs w:val="24"/>
              </w:rPr>
              <w:t>本项目设置投标控制价上限，高于投标控制价上限作废标处理。如评标委员会认为投标报价低于成本的，评标委员会将否决其投标。</w:t>
            </w:r>
          </w:p>
          <w:p>
            <w:pPr>
              <w:autoSpaceDE w:val="0"/>
              <w:autoSpaceDN w:val="0"/>
              <w:adjustRightInd w:val="0"/>
              <w:spacing w:line="3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招标评标程序简介如下：</w:t>
            </w:r>
          </w:p>
          <w:p>
            <w:pPr>
              <w:autoSpaceDE w:val="0"/>
              <w:autoSpaceDN w:val="0"/>
              <w:adjustRightInd w:val="0"/>
              <w:spacing w:line="3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（1）招标人按照第二章“投标人须知”</w:t>
            </w:r>
            <w:r>
              <w:rPr>
                <w:rFonts w:hint="eastAsia" w:asciiTheme="minorEastAsia" w:hAnsiTheme="minorEastAsia" w:eastAsiaTheme="minorEastAsia" w:cstheme="minorEastAsia"/>
                <w:b/>
                <w:sz w:val="24"/>
                <w:szCs w:val="24"/>
              </w:rPr>
              <w:t>第5.2.1项</w:t>
            </w:r>
            <w:r>
              <w:rPr>
                <w:rFonts w:hint="eastAsia" w:asciiTheme="minorEastAsia" w:hAnsiTheme="minorEastAsia" w:eastAsiaTheme="minorEastAsia" w:cstheme="minorEastAsia"/>
                <w:sz w:val="24"/>
                <w:szCs w:val="24"/>
              </w:rPr>
              <w:t>的规定对投标文件第一个信封（商务及技术文件）进行开标。</w:t>
            </w:r>
          </w:p>
          <w:p>
            <w:pPr>
              <w:autoSpaceDE w:val="0"/>
              <w:autoSpaceDN w:val="0"/>
              <w:adjustRightInd w:val="0"/>
              <w:spacing w:line="3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如同一标段出现多名投标人的第一信封（商务及技术文件）综合得分相等时，则按照以下所列顺位在前的优先：</w:t>
            </w:r>
          </w:p>
          <w:p>
            <w:pPr>
              <w:adjustRightInd w:val="0"/>
              <w:snapToGrid w:val="0"/>
              <w:spacing w:before="62" w:beforeLines="20" w:after="62" w:afterLines="20" w:line="360" w:lineRule="exact"/>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a.主要人员得分较高者；</w:t>
            </w:r>
          </w:p>
          <w:p>
            <w:pPr>
              <w:adjustRightInd w:val="0"/>
              <w:snapToGrid w:val="0"/>
              <w:spacing w:before="62" w:beforeLines="20" w:after="62" w:afterLines="20" w:line="360" w:lineRule="exact"/>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b.施工组织设计得分较高者；</w:t>
            </w:r>
          </w:p>
          <w:p>
            <w:pPr>
              <w:adjustRightInd w:val="0"/>
              <w:snapToGrid w:val="0"/>
              <w:spacing w:before="62" w:beforeLines="20" w:after="62" w:afterLines="20" w:line="360" w:lineRule="exact"/>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c.履约信誉得分较高者；</w:t>
            </w:r>
          </w:p>
          <w:p>
            <w:pPr>
              <w:adjustRightInd w:val="0"/>
              <w:snapToGrid w:val="0"/>
              <w:spacing w:before="62" w:beforeLines="20" w:after="62" w:afterLines="20" w:line="360" w:lineRule="exact"/>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d.技术能力得分较高者。</w:t>
            </w:r>
          </w:p>
          <w:p>
            <w:pPr>
              <w:autoSpaceDE w:val="0"/>
              <w:autoSpaceDN w:val="0"/>
              <w:adjustRightInd w:val="0"/>
              <w:spacing w:line="3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若第一信封评审时以上各项评分因素得分都相等，则通过评委会投票表决，推荐票数多的投标人排序在先。</w:t>
            </w:r>
          </w:p>
          <w:p>
            <w:pPr>
              <w:autoSpaceDE w:val="0"/>
              <w:autoSpaceDN w:val="0"/>
              <w:adjustRightInd w:val="0"/>
              <w:spacing w:line="3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（3）招标人按照第二章“投标人须知”</w:t>
            </w:r>
            <w:r>
              <w:rPr>
                <w:rFonts w:hint="eastAsia" w:asciiTheme="minorEastAsia" w:hAnsiTheme="minorEastAsia" w:eastAsiaTheme="minorEastAsia" w:cstheme="minorEastAsia"/>
                <w:b/>
                <w:sz w:val="24"/>
                <w:szCs w:val="24"/>
              </w:rPr>
              <w:t>第5.2.3项</w:t>
            </w:r>
            <w:r>
              <w:rPr>
                <w:rFonts w:hint="eastAsia" w:asciiTheme="minorEastAsia" w:hAnsiTheme="minorEastAsia" w:eastAsiaTheme="minorEastAsia" w:cstheme="minorEastAsia"/>
                <w:sz w:val="24"/>
                <w:szCs w:val="24"/>
              </w:rPr>
              <w:t>的规定对通过第一信封评审且综合评分前三名的投标人其第二个信封（报价文件）进行开标。</w:t>
            </w:r>
          </w:p>
          <w:p>
            <w:pPr>
              <w:autoSpaceDE w:val="0"/>
              <w:autoSpaceDN w:val="0"/>
              <w:adjustRightInd w:val="0"/>
              <w:spacing w:line="3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（4）评标委员会对开标的投标文件第二个信封（报价文件）进行评审，并按评标价由低到高的顺序推荐一名中标候选人。</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1" w:hRule="atLeast"/>
        </w:trPr>
        <w:tc>
          <w:tcPr>
            <w:tcW w:w="934" w:type="dxa"/>
            <w:tcBorders>
              <w:top w:val="single" w:color="auto" w:sz="4" w:space="0"/>
              <w:bottom w:val="single" w:color="auto" w:sz="4" w:space="0"/>
            </w:tcBorders>
            <w:vAlign w:val="center"/>
          </w:tcPr>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2.1.1</w:t>
            </w:r>
          </w:p>
        </w:tc>
        <w:tc>
          <w:tcPr>
            <w:tcW w:w="1394" w:type="dxa"/>
            <w:tcBorders>
              <w:top w:val="single" w:color="auto" w:sz="4" w:space="0"/>
              <w:bottom w:val="single" w:color="auto" w:sz="4" w:space="0"/>
            </w:tcBorders>
            <w:vAlign w:val="center"/>
          </w:tcPr>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sz w:val="24"/>
                <w:szCs w:val="24"/>
              </w:rPr>
              <w:t>第一个信封</w:t>
            </w:r>
          </w:p>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形式评审</w:t>
            </w:r>
          </w:p>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与响应性</w:t>
            </w:r>
          </w:p>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评审标准</w:t>
            </w:r>
          </w:p>
        </w:tc>
        <w:tc>
          <w:tcPr>
            <w:tcW w:w="7159" w:type="dxa"/>
            <w:tcBorders>
              <w:top w:val="single" w:color="auto" w:sz="4" w:space="0"/>
              <w:bottom w:val="single" w:color="auto" w:sz="4" w:space="0"/>
            </w:tcBorders>
            <w:vAlign w:val="center"/>
          </w:tcPr>
          <w:p>
            <w:pPr>
              <w:adjustRightInd w:val="0"/>
              <w:snapToGrid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第一个信封（商务及技术文件）</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(1)投标文件按照招标文件规定的格式、内容填写，字迹清晰可辨：</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a.投标函按招标文件规定填报了项目名称、标段号、补遗书编号（如有）、工期、工程质量要求及安全目标 ；</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b.投标函附录的所有数据均符合招标文件规定；</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c.投标文件组成齐全完整 ，内容均按规定填写。</w:t>
            </w:r>
          </w:p>
          <w:p>
            <w:pPr>
              <w:autoSpaceDE w:val="0"/>
              <w:autoSpaceDN w:val="0"/>
              <w:adjustRightInd w:val="0"/>
              <w:spacing w:line="320" w:lineRule="exact"/>
              <w:ind w:firstLine="360" w:firstLineChars="15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 xml:space="preserve"> (2)投标文件上法定代表人或其授权代理人的签字、投标人的单位章盖章齐全，符合招标文件规定。</w:t>
            </w:r>
          </w:p>
          <w:p>
            <w:pPr>
              <w:adjustRightInd w:val="0"/>
              <w:snapToGrid w:val="0"/>
              <w:spacing w:before="31" w:beforeLines="10" w:after="31" w:afterLines="1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lang w:val="zh-CN"/>
              </w:rPr>
              <w:t>(3)</w:t>
            </w:r>
            <w:r>
              <w:rPr>
                <w:rFonts w:hint="eastAsia" w:asciiTheme="minorEastAsia" w:hAnsiTheme="minorEastAsia" w:eastAsiaTheme="minorEastAsia" w:cstheme="minorEastAsia"/>
                <w:sz w:val="24"/>
                <w:szCs w:val="24"/>
              </w:rPr>
              <w:t xml:space="preserve"> 投标人按照招标文件规定提供了投标保证金：</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a.投标保证金金额符合招标文件规定的金额，且投标保证金有效期不少于投标有效期；</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b. 若投标保证金采用现金或支票形式提交，投标人应在递交投标文件截止时间之前，将投标保证金由投标人的基本账户转入招标人指定账户；</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c．若投标保证金采用银行保函形式提交，银行保函的格式、开具保函的银行均满足招标文件要求，且在递交投标文件截止时间之前向招标人提交了银行保函原件。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lang w:val="zh-CN"/>
              </w:rPr>
              <w:t>(4)</w:t>
            </w:r>
            <w:r>
              <w:rPr>
                <w:rFonts w:hint="eastAsia" w:asciiTheme="minorEastAsia" w:hAnsiTheme="minorEastAsia" w:eastAsiaTheme="minorEastAsia" w:cstheme="minorEastAsia"/>
                <w:sz w:val="24"/>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lang w:val="zh-CN"/>
              </w:rPr>
              <w:t>(5)</w:t>
            </w:r>
            <w:r>
              <w:rPr>
                <w:rFonts w:hint="eastAsia" w:asciiTheme="minorEastAsia" w:hAnsiTheme="minorEastAsia" w:eastAsiaTheme="minorEastAsia" w:cstheme="minorEastAsia"/>
                <w:sz w:val="24"/>
                <w:szCs w:val="24"/>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(6)投标人未以联合体形式投标。</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(7)投标人未有分包计划。</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(8)同一投标人未提交两个以上不同的投标文件，但招标文件要求提交备选投标的除外。</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(9)投标文件中未出现有关投标报价的内容。</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(10)投标文件载明的招标项目完成期限未超过招标文件规定的时限。</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(11)投标文件</w:t>
            </w:r>
            <w:r>
              <w:rPr>
                <w:rFonts w:hint="eastAsia" w:asciiTheme="minorEastAsia" w:hAnsiTheme="minorEastAsia" w:eastAsiaTheme="minorEastAsia" w:cstheme="minorEastAsia"/>
                <w:kern w:val="0"/>
                <w:sz w:val="24"/>
                <w:szCs w:val="24"/>
              </w:rPr>
              <w:t>对</w:t>
            </w:r>
            <w:r>
              <w:rPr>
                <w:rFonts w:hint="eastAsia" w:asciiTheme="minorEastAsia" w:hAnsiTheme="minorEastAsia" w:eastAsiaTheme="minorEastAsia" w:cstheme="minorEastAsia"/>
                <w:bCs/>
                <w:sz w:val="24"/>
                <w:szCs w:val="24"/>
                <w:lang w:val="zh-CN"/>
              </w:rPr>
              <w:t>招标文件的实质性要求和条件作出响应。</w:t>
            </w:r>
          </w:p>
          <w:p>
            <w:pPr>
              <w:autoSpaceDE w:val="0"/>
              <w:autoSpaceDN w:val="0"/>
              <w:adjustRightInd w:val="0"/>
              <w:spacing w:line="320" w:lineRule="exact"/>
              <w:ind w:firstLine="480" w:firstLineChars="20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(12)权利义务符合招标文件规定：</w:t>
            </w:r>
          </w:p>
          <w:p>
            <w:pPr>
              <w:autoSpaceDE w:val="0"/>
              <w:autoSpaceDN w:val="0"/>
              <w:adjustRightInd w:val="0"/>
              <w:spacing w:line="320" w:lineRule="exact"/>
              <w:ind w:firstLine="36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a.投标人应接受招标文件规定的风险划分原则，未提出新的风险划分办法；</w:t>
            </w:r>
          </w:p>
          <w:p>
            <w:pPr>
              <w:autoSpaceDE w:val="0"/>
              <w:autoSpaceDN w:val="0"/>
              <w:adjustRightInd w:val="0"/>
              <w:spacing w:line="320" w:lineRule="exact"/>
              <w:ind w:firstLine="36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b.投标人未增加发包人的责任范围、或减少投标人的义务；</w:t>
            </w:r>
          </w:p>
          <w:p>
            <w:pPr>
              <w:autoSpaceDE w:val="0"/>
              <w:autoSpaceDN w:val="0"/>
              <w:adjustRightInd w:val="0"/>
              <w:spacing w:line="320" w:lineRule="exact"/>
              <w:ind w:firstLine="36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c.投标人未提出不同的工程验收、计量、支付办法；</w:t>
            </w:r>
          </w:p>
          <w:p>
            <w:pPr>
              <w:autoSpaceDE w:val="0"/>
              <w:autoSpaceDN w:val="0"/>
              <w:adjustRightInd w:val="0"/>
              <w:spacing w:line="320" w:lineRule="exact"/>
              <w:ind w:firstLine="36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d.投标人对合同纠纷、事故处理办法未提出异议；</w:t>
            </w:r>
          </w:p>
          <w:p>
            <w:pPr>
              <w:autoSpaceDE w:val="0"/>
              <w:autoSpaceDN w:val="0"/>
              <w:adjustRightInd w:val="0"/>
              <w:spacing w:line="320" w:lineRule="exact"/>
              <w:ind w:firstLine="36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e.投标人在投标活动中无欺诈行为；</w:t>
            </w:r>
          </w:p>
          <w:p>
            <w:pPr>
              <w:autoSpaceDE w:val="0"/>
              <w:autoSpaceDN w:val="0"/>
              <w:adjustRightInd w:val="0"/>
              <w:spacing w:line="320" w:lineRule="exact"/>
              <w:ind w:firstLine="360"/>
              <w:jc w:val="lef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f.投标人未对合同条款有重要保留。</w:t>
            </w:r>
          </w:p>
          <w:p>
            <w:pPr>
              <w:adjustRightInd w:val="0"/>
              <w:snapToGrid w:val="0"/>
              <w:spacing w:before="31" w:beforeLines="10" w:after="31" w:afterLines="10"/>
              <w:ind w:firstLine="480" w:firstLineChars="200"/>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(13)</w:t>
            </w:r>
            <w:r>
              <w:rPr>
                <w:rFonts w:hint="eastAsia" w:asciiTheme="minorEastAsia" w:hAnsiTheme="minorEastAsia" w:eastAsiaTheme="minorEastAsia" w:cstheme="minorEastAsia"/>
                <w:color w:val="000000"/>
                <w:sz w:val="24"/>
                <w:szCs w:val="24"/>
                <w:lang w:val="zh-TW" w:eastAsia="zh-TW" w:bidi="zh-TW"/>
              </w:rPr>
              <w:t xml:space="preserve"> </w:t>
            </w:r>
            <w:r>
              <w:rPr>
                <w:rFonts w:hint="eastAsia" w:asciiTheme="minorEastAsia" w:hAnsiTheme="minorEastAsia" w:eastAsiaTheme="minorEastAsia" w:cstheme="minorEastAsia"/>
                <w:bCs/>
                <w:sz w:val="24"/>
                <w:szCs w:val="24"/>
                <w:lang w:val="zh-CN"/>
              </w:rPr>
              <w:t>投标文件正、副本份数符合招标文件第二章“投标人须知” 第3.7.4项规定。</w:t>
            </w:r>
          </w:p>
          <w:p>
            <w:pPr>
              <w:adjustRightInd w:val="0"/>
              <w:snapToGrid w:val="0"/>
              <w:spacing w:before="31" w:beforeLines="10" w:after="31" w:afterLines="10"/>
              <w:ind w:firstLine="480" w:firstLineChars="200"/>
              <w:rPr>
                <w:rFonts w:hint="eastAsia" w:asciiTheme="minorEastAsia" w:hAnsiTheme="minorEastAsia" w:eastAsiaTheme="minorEastAsia" w:cstheme="minorEastAsia"/>
                <w:bCs/>
                <w:sz w:val="24"/>
                <w:szCs w:val="24"/>
                <w:lang w:val="zh-CN"/>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lang w:val="zh-CN"/>
              </w:rPr>
              <w:t>2.1.3</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sz w:val="24"/>
                <w:szCs w:val="24"/>
              </w:rPr>
              <w:t>第二个信封</w:t>
            </w:r>
          </w:p>
          <w:p>
            <w:pPr>
              <w:autoSpaceDE w:val="0"/>
              <w:autoSpaceDN w:val="0"/>
              <w:adjustRightInd w:val="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形式评审</w:t>
            </w:r>
          </w:p>
          <w:p>
            <w:pPr>
              <w:autoSpaceDE w:val="0"/>
              <w:autoSpaceDN w:val="0"/>
              <w:adjustRightInd w:val="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与响应性</w:t>
            </w:r>
          </w:p>
          <w:p>
            <w:pPr>
              <w:autoSpaceDE w:val="0"/>
              <w:autoSpaceDN w:val="0"/>
              <w:adjustRightInd w:val="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评审标准</w:t>
            </w:r>
          </w:p>
        </w:tc>
        <w:tc>
          <w:tcPr>
            <w:tcW w:w="7159" w:type="dxa"/>
            <w:tcBorders>
              <w:top w:val="single" w:color="auto" w:sz="4" w:space="0"/>
            </w:tcBorders>
            <w:vAlign w:val="center"/>
          </w:tcPr>
          <w:p>
            <w:pPr>
              <w:adjustRightInd w:val="0"/>
              <w:snapToGrid w:val="0"/>
              <w:spacing w:before="62" w:beforeLines="20" w:after="62" w:afterLines="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第二个信封（报价文件）</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(1)投标文件按照招标文件规定的格式、内容填写、字迹清晰可辨：</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a．投标函按招标文件规定填报了项目名称、标段号、补遗书编号（如有)、投标价（包括大写金额和小写金额)；</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b．已标价工程量清单说明文字与招标文件规定一致，未进行实质性修改和删减；</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c．投标文件组成齐全完整，内容均按规定填写。</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(2)投标文件上法定代表人或其委托代理人的签字、投标人的单位章盖章齐全，符合招标文件规定。</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(3)投标报价中的报价未超过招标文件设定的最高投标限价。</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(4)投标报价中报价的大写金额能够确定具体数值。</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(5)同一投标人未提交两个以上不同的投标报价，但招标文件要求提交备选投标的除外。</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2.1.2</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sz w:val="24"/>
                <w:szCs w:val="24"/>
              </w:rPr>
              <w:t>第一个信封</w:t>
            </w:r>
          </w:p>
          <w:p>
            <w:pPr>
              <w:autoSpaceDE w:val="0"/>
              <w:autoSpaceDN w:val="0"/>
              <w:adjustRightInd w:val="0"/>
              <w:spacing w:line="40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资格</w:t>
            </w:r>
          </w:p>
          <w:p>
            <w:pPr>
              <w:autoSpaceDE w:val="0"/>
              <w:autoSpaceDN w:val="0"/>
              <w:adjustRightInd w:val="0"/>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lang w:val="zh-CN"/>
              </w:rPr>
              <w:t>评审标准</w:t>
            </w:r>
          </w:p>
        </w:tc>
        <w:tc>
          <w:tcPr>
            <w:tcW w:w="7159" w:type="dxa"/>
            <w:tcBorders>
              <w:bottom w:val="single" w:color="auto" w:sz="4" w:space="0"/>
            </w:tcBorders>
            <w:vAlign w:val="center"/>
          </w:tcPr>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(1)投标人具备有效的营业执照、基本账户开户许可证和公司出资情况工商查档证明或投标人在《国家企业信用信息公示系统》中相关出资信息的网页截图。</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(2)投标人的财务状况符合招标文件规定。</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(3)投标人的类似项目业绩符合招标文件规定。</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(4)投标人的信誉符合招标文件规定。</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(5)投标人的项目经理和项目总工资格在岗情况符合招标文件规定，且提供了满足招标文件要求的证明材料。</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(6)投标人不存在第二章“投标人须知”第1.4.3项或1.4.4项规定的任何一种情形。</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(7)投标人符合第二章“投标人须知”第1.4.5项规定；</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(8)投标人未以联合体形式参与投标。</w:t>
            </w:r>
          </w:p>
          <w:p>
            <w:pPr>
              <w:adjustRightInd w:val="0"/>
              <w:snapToGrid w:val="0"/>
              <w:spacing w:before="62" w:beforeLines="20" w:after="62" w:afterLines="2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tbl>
      <w:tblPr>
        <w:tblStyle w:val="7"/>
        <w:tblW w:w="9487" w:type="dxa"/>
        <w:tblInd w:w="0" w:type="dxa"/>
        <w:tblLayout w:type="fixed"/>
        <w:tblCellMar>
          <w:top w:w="0" w:type="dxa"/>
          <w:left w:w="108" w:type="dxa"/>
          <w:bottom w:w="0" w:type="dxa"/>
          <w:right w:w="108" w:type="dxa"/>
        </w:tblCellMar>
      </w:tblPr>
      <w:tblGrid>
        <w:gridCol w:w="2376"/>
        <w:gridCol w:w="1619"/>
        <w:gridCol w:w="5492"/>
      </w:tblGrid>
      <w:tr>
        <w:trPr>
          <w:tblHeader/>
        </w:trPr>
        <w:tc>
          <w:tcPr>
            <w:tcW w:w="23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条款号</w:t>
            </w:r>
          </w:p>
        </w:tc>
        <w:tc>
          <w:tcPr>
            <w:tcW w:w="161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条款内容</w:t>
            </w:r>
          </w:p>
        </w:tc>
        <w:tc>
          <w:tcPr>
            <w:tcW w:w="54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48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2.2.1</w:t>
            </w:r>
          </w:p>
        </w:tc>
        <w:tc>
          <w:tcPr>
            <w:tcW w:w="16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46" w:beforeLines="15" w:after="46" w:afterLines="15"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分值构成</w:t>
            </w:r>
          </w:p>
          <w:p>
            <w:pPr>
              <w:adjustRightInd w:val="0"/>
              <w:snapToGrid w:val="0"/>
              <w:spacing w:before="46" w:beforeLines="15" w:after="46" w:afterLines="15"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（总分100分）</w:t>
            </w:r>
          </w:p>
        </w:tc>
        <w:tc>
          <w:tcPr>
            <w:tcW w:w="549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after="62" w:afterLines="20" w:line="360" w:lineRule="exact"/>
              <w:ind w:left="420" w:left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施工组织设计：40分</w:t>
            </w:r>
          </w:p>
          <w:p>
            <w:pPr>
              <w:adjustRightInd w:val="0"/>
              <w:snapToGrid w:val="0"/>
              <w:spacing w:before="62" w:beforeLines="20" w:after="62" w:afterLines="20" w:line="360" w:lineRule="exact"/>
              <w:ind w:left="420" w:left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主要人员：25分</w:t>
            </w:r>
          </w:p>
          <w:p>
            <w:pPr>
              <w:adjustRightInd w:val="0"/>
              <w:snapToGrid w:val="0"/>
              <w:spacing w:before="62" w:beforeLines="20" w:after="62" w:afterLines="20" w:line="360" w:lineRule="exact"/>
              <w:ind w:left="420" w:left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 他 因 素：35分</w:t>
            </w:r>
          </w:p>
          <w:p>
            <w:pPr>
              <w:adjustRightInd w:val="0"/>
              <w:snapToGrid w:val="0"/>
              <w:spacing w:before="62" w:beforeLines="20" w:after="62" w:afterLines="20" w:line="360" w:lineRule="exact"/>
              <w:ind w:left="420" w:left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7"/>
                <w:kern w:val="0"/>
                <w:sz w:val="24"/>
                <w:szCs w:val="24"/>
              </w:rPr>
              <w:t>评标</w:t>
            </w:r>
            <w:r>
              <w:rPr>
                <w:rFonts w:hint="eastAsia" w:asciiTheme="minorEastAsia" w:hAnsiTheme="minorEastAsia" w:eastAsiaTheme="minorEastAsia" w:cstheme="minorEastAsia"/>
                <w:spacing w:val="1"/>
                <w:kern w:val="0"/>
                <w:sz w:val="24"/>
                <w:szCs w:val="24"/>
              </w:rPr>
              <w:t>价</w:t>
            </w:r>
            <w:r>
              <w:rPr>
                <w:rFonts w:hint="eastAsia" w:asciiTheme="minorEastAsia" w:hAnsiTheme="minorEastAsia" w:eastAsiaTheme="minorEastAsia" w:cstheme="minorEastAsia"/>
                <w:sz w:val="24"/>
                <w:szCs w:val="24"/>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48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2.2.3</w:t>
            </w:r>
          </w:p>
        </w:tc>
        <w:tc>
          <w:tcPr>
            <w:tcW w:w="161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120" w:firstLineChars="5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48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3.2.4</w:t>
            </w:r>
          </w:p>
        </w:tc>
        <w:tc>
          <w:tcPr>
            <w:tcW w:w="161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120" w:firstLineChars="50"/>
              <w:jc w:val="center"/>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通过第一个信封详细评审的投标人数量</w:t>
            </w:r>
          </w:p>
        </w:tc>
        <w:tc>
          <w:tcPr>
            <w:tcW w:w="54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按照投标人的商务和技术得分由高到低排序，选择前</w:t>
            </w:r>
            <w:r>
              <w:rPr>
                <w:rFonts w:hint="eastAsia" w:asciiTheme="minorEastAsia" w:hAnsiTheme="minorEastAsia" w:eastAsiaTheme="minorEastAsia" w:cstheme="minorEastAsia"/>
                <w:b/>
                <w:sz w:val="24"/>
                <w:szCs w:val="24"/>
                <w:u w:val="single"/>
              </w:rPr>
              <w:t>3</w:t>
            </w:r>
            <w:r>
              <w:rPr>
                <w:rFonts w:hint="eastAsia" w:asciiTheme="minorEastAsia" w:hAnsiTheme="minorEastAsia" w:eastAsiaTheme="minorEastAsia" w:cstheme="minorEastAsia"/>
                <w:sz w:val="24"/>
                <w:szCs w:val="24"/>
              </w:rPr>
              <w:t>名通过详细评审。</w:t>
            </w:r>
          </w:p>
        </w:tc>
      </w:tr>
    </w:tbl>
    <w:p>
      <w:pPr>
        <w:pStyle w:val="3"/>
        <w:keepNext w:val="0"/>
        <w:keepLines w:val="0"/>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tbl>
      <w:tblPr>
        <w:tblStyle w:val="7"/>
        <w:tblW w:w="944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409"/>
        <w:gridCol w:w="559"/>
        <w:gridCol w:w="1125"/>
        <w:gridCol w:w="2328"/>
        <w:gridCol w:w="495"/>
        <w:gridCol w:w="1037"/>
        <w:gridCol w:w="260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6832" w:type="dxa"/>
            <w:gridSpan w:val="7"/>
            <w:tcBorders>
              <w:top w:val="single" w:color="auto" w:sz="6" w:space="0"/>
              <w:left w:val="single" w:color="auto" w:sz="6" w:space="0"/>
            </w:tcBorders>
            <w:noWrap w:val="0"/>
            <w:vAlign w:val="center"/>
          </w:tcPr>
          <w:p>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评分因素与权重分值</w:t>
            </w:r>
            <w:r>
              <w:rPr>
                <w:rStyle w:val="9"/>
                <w:rFonts w:hint="eastAsia" w:asciiTheme="minorEastAsia" w:hAnsiTheme="minorEastAsia" w:eastAsiaTheme="minorEastAsia" w:cstheme="minorEastAsia"/>
                <w:sz w:val="24"/>
                <w:szCs w:val="24"/>
              </w:rPr>
              <w:footnoteReference w:id="1"/>
            </w:r>
          </w:p>
        </w:tc>
        <w:tc>
          <w:tcPr>
            <w:tcW w:w="2609" w:type="dxa"/>
            <w:vMerge w:val="restart"/>
            <w:tcBorders>
              <w:top w:val="single" w:color="auto" w:sz="6" w:space="0"/>
              <w:right w:val="single" w:color="auto" w:sz="6" w:space="0"/>
            </w:tcBorders>
            <w:noWrap w:val="0"/>
            <w:vAlign w:val="center"/>
          </w:tcPr>
          <w:p>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tcBorders>
              <w:left w:val="single" w:color="auto" w:sz="6" w:space="0"/>
            </w:tcBorders>
            <w:noWrap w:val="0"/>
            <w:vAlign w:val="center"/>
          </w:tcPr>
          <w:p>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条款号</w:t>
            </w:r>
          </w:p>
        </w:tc>
        <w:tc>
          <w:tcPr>
            <w:tcW w:w="968" w:type="dxa"/>
            <w:gridSpan w:val="2"/>
            <w:noWrap w:val="0"/>
            <w:vAlign w:val="center"/>
          </w:tcPr>
          <w:p>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t>因素</w:t>
            </w:r>
          </w:p>
        </w:tc>
        <w:tc>
          <w:tcPr>
            <w:tcW w:w="1125" w:type="dxa"/>
            <w:noWrap w:val="0"/>
            <w:vAlign w:val="center"/>
          </w:tcPr>
          <w:p>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评分因素</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t>权重分值</w:t>
            </w:r>
          </w:p>
        </w:tc>
        <w:tc>
          <w:tcPr>
            <w:tcW w:w="2328" w:type="dxa"/>
            <w:noWrap w:val="0"/>
            <w:vAlign w:val="center"/>
          </w:tcPr>
          <w:p>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各评分因素细分项</w:t>
            </w:r>
          </w:p>
        </w:tc>
        <w:tc>
          <w:tcPr>
            <w:tcW w:w="1532" w:type="dxa"/>
            <w:gridSpan w:val="2"/>
            <w:noWrap w:val="0"/>
            <w:vAlign w:val="center"/>
          </w:tcPr>
          <w:p>
            <w:pPr>
              <w:adjustRightInd w:val="0"/>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2609" w:type="dxa"/>
            <w:vMerge w:val="continue"/>
            <w:tcBorders>
              <w:right w:val="single" w:color="auto" w:sz="6" w:space="0"/>
            </w:tcBorders>
            <w:noWrap w:val="0"/>
            <w:vAlign w:val="center"/>
          </w:tcPr>
          <w:p>
            <w:pPr>
              <w:adjustRightInd w:val="0"/>
              <w:snapToGrid w:val="0"/>
              <w:jc w:val="center"/>
              <w:rPr>
                <w:rFonts w:hint="eastAsia" w:asciiTheme="minorEastAsia" w:hAnsiTheme="minorEastAsia" w:eastAsiaTheme="minorEastAsia" w:cstheme="minorEastAsia"/>
                <w:b/>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2.2.2（1）</w:t>
            </w:r>
          </w:p>
        </w:tc>
        <w:tc>
          <w:tcPr>
            <w:tcW w:w="968" w:type="dxa"/>
            <w:gridSpan w:val="2"/>
            <w:vMerge w:val="restart"/>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施工组织设计</w:t>
            </w:r>
          </w:p>
        </w:tc>
        <w:tc>
          <w:tcPr>
            <w:tcW w:w="1125" w:type="dxa"/>
            <w:vMerge w:val="restart"/>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40分</w:t>
            </w:r>
          </w:p>
        </w:tc>
        <w:tc>
          <w:tcPr>
            <w:tcW w:w="2328" w:type="dxa"/>
            <w:vMerge w:val="restart"/>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施工总体方案</w:t>
            </w:r>
          </w:p>
        </w:tc>
        <w:tc>
          <w:tcPr>
            <w:tcW w:w="495" w:type="dxa"/>
            <w:vMerge w:val="restart"/>
            <w:tcBorders>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1037" w:type="dxa"/>
            <w:tcBorders>
              <w:left w:val="single" w:color="auto" w:sz="4" w:space="0"/>
              <w:bottom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9～15</w:t>
            </w:r>
          </w:p>
        </w:tc>
        <w:tc>
          <w:tcPr>
            <w:tcW w:w="2609" w:type="dxa"/>
            <w:tcBorders>
              <w:bottom w:val="single" w:color="auto" w:sz="4"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总体方案切实可行，对本项目具有针对性。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7"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bottom w:val="single" w:color="auto" w:sz="4"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p>
        </w:tc>
        <w:tc>
          <w:tcPr>
            <w:tcW w:w="495" w:type="dxa"/>
            <w:vMerge w:val="continue"/>
            <w:tcBorders>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4" w:space="0"/>
              <w:lef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09" w:type="dxa"/>
            <w:tcBorders>
              <w:top w:val="single" w:color="auto" w:sz="4"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总体方案基本满足要求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restart"/>
            <w:tcBorders>
              <w:top w:val="single" w:color="auto" w:sz="4"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工期保证、工程质量管理、环境保护、水土保持、文明施工、文物保护、项目风险预测体系或保证措施</w:t>
            </w:r>
          </w:p>
        </w:tc>
        <w:tc>
          <w:tcPr>
            <w:tcW w:w="495" w:type="dxa"/>
            <w:vMerge w:val="restart"/>
            <w:tcBorders>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1037" w:type="dxa"/>
            <w:tcBorders>
              <w:lef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9～15</w:t>
            </w:r>
          </w:p>
        </w:tc>
        <w:tc>
          <w:tcPr>
            <w:tcW w:w="2609" w:type="dxa"/>
            <w:tcBorders>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bottom w:val="single" w:color="auto" w:sz="6"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left w:val="single" w:color="auto" w:sz="4"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09" w:type="dxa"/>
            <w:tcBorders>
              <w:bottom w:val="single" w:color="auto" w:sz="6"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restart"/>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安全生产管理体系及保证措施</w:t>
            </w:r>
          </w:p>
        </w:tc>
        <w:tc>
          <w:tcPr>
            <w:tcW w:w="495" w:type="dxa"/>
            <w:vMerge w:val="restart"/>
            <w:tcBorders>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037" w:type="dxa"/>
            <w:tcBorders>
              <w:left w:val="single" w:color="auto" w:sz="4"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6～10</w:t>
            </w:r>
          </w:p>
        </w:tc>
        <w:tc>
          <w:tcPr>
            <w:tcW w:w="2609" w:type="dxa"/>
            <w:tcBorders>
              <w:bottom w:val="single" w:color="auto" w:sz="6"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tcBorders>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bottom w:val="single" w:color="auto" w:sz="6"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left w:val="single" w:color="auto" w:sz="4"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09" w:type="dxa"/>
            <w:tcBorders>
              <w:bottom w:val="single" w:color="auto" w:sz="6"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2.2.2（2）</w:t>
            </w:r>
          </w:p>
        </w:tc>
        <w:tc>
          <w:tcPr>
            <w:tcW w:w="968" w:type="dxa"/>
            <w:gridSpan w:val="2"/>
            <w:vMerge w:val="restart"/>
            <w:tcBorders>
              <w:top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主要人员</w:t>
            </w:r>
          </w:p>
        </w:tc>
        <w:tc>
          <w:tcPr>
            <w:tcW w:w="1125" w:type="dxa"/>
            <w:vMerge w:val="restart"/>
            <w:tcBorders>
              <w:top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25分</w:t>
            </w:r>
          </w:p>
        </w:tc>
        <w:tc>
          <w:tcPr>
            <w:tcW w:w="2328" w:type="dxa"/>
            <w:vMerge w:val="restart"/>
            <w:tcBorders>
              <w:top w:val="single" w:color="auto" w:sz="6"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项目机构设置、岗位配置、机构运转流程</w:t>
            </w:r>
          </w:p>
        </w:tc>
        <w:tc>
          <w:tcPr>
            <w:tcW w:w="495" w:type="dxa"/>
            <w:vMerge w:val="restart"/>
            <w:tcBorders>
              <w:top w:val="single" w:color="auto" w:sz="6"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037" w:type="dxa"/>
            <w:tcBorders>
              <w:top w:val="single" w:color="auto" w:sz="6" w:space="0"/>
              <w:left w:val="single" w:color="auto" w:sz="4" w:space="0"/>
              <w:bottom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2609" w:type="dxa"/>
            <w:tcBorders>
              <w:top w:val="single" w:color="auto" w:sz="6" w:space="0"/>
              <w:bottom w:val="single" w:color="auto" w:sz="4" w:space="0"/>
              <w:right w:val="single" w:color="auto" w:sz="6"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机构、岗位配置齐全、合理，分工明确，机构运转顺畅、科学、完善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bottom w:val="single" w:color="auto" w:sz="4"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p>
        </w:tc>
        <w:tc>
          <w:tcPr>
            <w:tcW w:w="495" w:type="dxa"/>
            <w:vMerge w:val="continue"/>
            <w:tcBorders>
              <w:bottom w:val="single" w:color="auto" w:sz="4"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4" w:space="0"/>
              <w:left w:val="single" w:color="auto" w:sz="4" w:space="0"/>
              <w:bottom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09" w:type="dxa"/>
            <w:tcBorders>
              <w:top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配置基本满足要求，机构运转正常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52"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restart"/>
            <w:tcBorders>
              <w:top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项目经理任职资格    与业绩</w:t>
            </w:r>
          </w:p>
        </w:tc>
        <w:tc>
          <w:tcPr>
            <w:tcW w:w="495" w:type="dxa"/>
            <w:vMerge w:val="restart"/>
            <w:tcBorders>
              <w:top w:val="single" w:color="auto" w:sz="4"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037" w:type="dxa"/>
            <w:tcBorders>
              <w:top w:val="single" w:color="auto" w:sz="4" w:space="0"/>
              <w:lef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6～10</w:t>
            </w:r>
          </w:p>
        </w:tc>
        <w:tc>
          <w:tcPr>
            <w:tcW w:w="2609" w:type="dxa"/>
            <w:tcBorders>
              <w:top w:val="single" w:color="auto" w:sz="4" w:space="0"/>
              <w:right w:val="single" w:color="auto" w:sz="6"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在满足最低要求的基础上，每增加一项类似小修保养</w:t>
            </w:r>
            <w:r>
              <w:rPr>
                <w:rFonts w:hint="eastAsia"/>
                <w:sz w:val="24"/>
                <w:szCs w:val="24"/>
                <w:highlight w:val="none"/>
                <w:lang w:val="en-US" w:eastAsia="zh-CN"/>
              </w:rPr>
              <w:t>或日常养护</w:t>
            </w:r>
            <w:r>
              <w:rPr>
                <w:rFonts w:hint="eastAsia" w:asciiTheme="minorEastAsia" w:hAnsiTheme="minorEastAsia" w:eastAsiaTheme="minorEastAsia" w:cstheme="minorEastAsia"/>
                <w:sz w:val="24"/>
                <w:szCs w:val="24"/>
              </w:rPr>
              <w:t>工程施工项目经理业绩加2分，最多加4分。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95" w:type="dxa"/>
            <w:vMerge w:val="continue"/>
            <w:tcBorders>
              <w:bottom w:val="single" w:color="auto" w:sz="6"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037" w:type="dxa"/>
            <w:tcBorders>
              <w:left w:val="single" w:color="auto" w:sz="4"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09" w:type="dxa"/>
            <w:tcBorders>
              <w:bottom w:val="single" w:color="auto" w:sz="6" w:space="0"/>
              <w:right w:val="single" w:color="auto" w:sz="6"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22"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项目总工任职资格    与业绩</w:t>
            </w:r>
          </w:p>
        </w:tc>
        <w:tc>
          <w:tcPr>
            <w:tcW w:w="495"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037"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6～10</w:t>
            </w:r>
          </w:p>
        </w:tc>
        <w:tc>
          <w:tcPr>
            <w:tcW w:w="26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在满足最低要求的基础上，每增加一项类似小修保养</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rPr>
              <w:t>日常养护工程施工项目总工业绩加2分，最多加4分。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tcBorders>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95"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2.2.2（3）</w:t>
            </w:r>
          </w:p>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其他因素</w:t>
            </w:r>
          </w:p>
        </w:tc>
        <w:tc>
          <w:tcPr>
            <w:tcW w:w="409" w:type="dxa"/>
            <w:vMerge w:val="restart"/>
            <w:tcBorders>
              <w:top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其他因素</w:t>
            </w:r>
          </w:p>
        </w:tc>
        <w:tc>
          <w:tcPr>
            <w:tcW w:w="559"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技术能力</w:t>
            </w:r>
          </w:p>
        </w:tc>
        <w:tc>
          <w:tcPr>
            <w:tcW w:w="1125" w:type="dxa"/>
            <w:vMerge w:val="restart"/>
            <w:tcBorders>
              <w:top w:val="single" w:color="auto" w:sz="6"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20分</w:t>
            </w:r>
          </w:p>
          <w:p>
            <w:pPr>
              <w:rPr>
                <w:rFonts w:hint="eastAsia" w:asciiTheme="minorEastAsia" w:hAnsiTheme="minorEastAsia" w:eastAsiaTheme="minorEastAsia" w:cstheme="minorEastAsia"/>
                <w:sz w:val="24"/>
                <w:szCs w:val="24"/>
              </w:rPr>
            </w:pPr>
          </w:p>
        </w:tc>
        <w:tc>
          <w:tcPr>
            <w:tcW w:w="2328"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重点难点工程及解决方法，冬季施工措施</w:t>
            </w:r>
          </w:p>
        </w:tc>
        <w:tc>
          <w:tcPr>
            <w:tcW w:w="495" w:type="dxa"/>
            <w:vMerge w:val="restart"/>
            <w:tcBorders>
              <w:top w:val="single" w:color="auto" w:sz="6" w:space="0"/>
              <w:left w:val="single" w:color="auto" w:sz="4" w:space="0"/>
              <w:bottom w:val="single" w:color="auto" w:sz="6"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037" w:type="dxa"/>
            <w:tcBorders>
              <w:top w:val="single" w:color="auto" w:sz="6" w:space="0"/>
              <w:left w:val="single" w:color="auto" w:sz="4" w:space="0"/>
              <w:bottom w:val="single" w:color="auto" w:sz="6"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2609" w:type="dxa"/>
            <w:tcBorders>
              <w:top w:val="single" w:color="auto" w:sz="6" w:space="0"/>
              <w:left w:val="single" w:color="auto" w:sz="4" w:space="0"/>
              <w:bottom w:val="single" w:color="auto" w:sz="6"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重点难点工程突出，解决办法合理、科学、先进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p>
        </w:tc>
        <w:tc>
          <w:tcPr>
            <w:tcW w:w="495" w:type="dxa"/>
            <w:vMerge w:val="continue"/>
            <w:tcBorders>
              <w:top w:val="single" w:color="auto" w:sz="6" w:space="0"/>
              <w:left w:val="single" w:color="auto" w:sz="4" w:space="0"/>
              <w:bottom w:val="single" w:color="auto" w:sz="6"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6" w:space="0"/>
              <w:left w:val="single" w:color="auto" w:sz="4" w:space="0"/>
              <w:bottom w:val="single" w:color="auto" w:sz="6"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09" w:type="dxa"/>
            <w:tcBorders>
              <w:top w:val="single" w:color="auto" w:sz="6" w:space="0"/>
              <w:left w:val="single" w:color="auto" w:sz="4" w:space="0"/>
              <w:bottom w:val="single" w:color="auto" w:sz="6"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有重点难点工程，有解决办法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2328" w:type="dxa"/>
            <w:vMerge w:val="restart"/>
            <w:tcBorders>
              <w:top w:val="single" w:color="auto" w:sz="6" w:space="0"/>
              <w:right w:val="single" w:color="auto" w:sz="4"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施工方案、方法</w:t>
            </w:r>
          </w:p>
        </w:tc>
        <w:tc>
          <w:tcPr>
            <w:tcW w:w="495" w:type="dxa"/>
            <w:vMerge w:val="restart"/>
            <w:tcBorders>
              <w:top w:val="single" w:color="auto" w:sz="6" w:space="0"/>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037" w:type="dxa"/>
            <w:tcBorders>
              <w:top w:val="single" w:color="auto" w:sz="6"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2609" w:type="dxa"/>
            <w:tcBorders>
              <w:top w:val="single" w:color="auto" w:sz="6" w:space="0"/>
              <w:left w:val="single" w:color="auto" w:sz="4" w:space="0"/>
              <w:bottom w:val="single" w:color="auto" w:sz="4"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施工方案可行、施工方法齐全、技术先进、施工工艺完善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bottom w:val="single" w:color="auto" w:sz="4" w:space="0"/>
              <w:right w:val="single" w:color="auto" w:sz="4" w:space="0"/>
            </w:tcBorders>
            <w:noWrap w:val="0"/>
            <w:vAlign w:val="center"/>
          </w:tcPr>
          <w:p>
            <w:pPr>
              <w:adjustRightInd w:val="0"/>
              <w:snapToGrid w:val="0"/>
              <w:spacing w:line="340" w:lineRule="exact"/>
              <w:rPr>
                <w:rFonts w:hint="eastAsia" w:asciiTheme="minorEastAsia" w:hAnsiTheme="minorEastAsia" w:eastAsiaTheme="minorEastAsia" w:cstheme="minorEastAsia"/>
                <w:sz w:val="24"/>
                <w:szCs w:val="24"/>
              </w:rPr>
            </w:pPr>
          </w:p>
        </w:tc>
        <w:tc>
          <w:tcPr>
            <w:tcW w:w="495" w:type="dxa"/>
            <w:vMerge w:val="continue"/>
            <w:tcBorders>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施工方案、方法基本满足要求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2328" w:type="dxa"/>
            <w:vMerge w:val="restart"/>
            <w:tcBorders>
              <w:right w:val="single" w:color="auto" w:sz="4"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投标人技术施工能力</w:t>
            </w:r>
          </w:p>
        </w:tc>
        <w:tc>
          <w:tcPr>
            <w:tcW w:w="495" w:type="dxa"/>
            <w:vMerge w:val="restart"/>
            <w:tcBorders>
              <w:left w:val="single" w:color="auto" w:sz="4"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10</w:t>
            </w:r>
          </w:p>
        </w:tc>
        <w:tc>
          <w:tcPr>
            <w:tcW w:w="103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6～10</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在满足最低要求的基础上，每增加完成</w:t>
            </w:r>
            <w:r>
              <w:rPr>
                <w:rFonts w:hint="eastAsia" w:asciiTheme="minorEastAsia" w:hAnsiTheme="minorEastAsia" w:eastAsiaTheme="minorEastAsia" w:cstheme="minorEastAsia"/>
                <w:b/>
                <w:spacing w:val="1"/>
                <w:kern w:val="0"/>
                <w:sz w:val="24"/>
                <w:szCs w:val="24"/>
                <w:highlight w:val="none"/>
                <w:lang w:val="en-US" w:eastAsia="zh-CN"/>
              </w:rPr>
              <w:t>1</w:t>
            </w:r>
            <w:r>
              <w:rPr>
                <w:rFonts w:hint="eastAsia" w:asciiTheme="minorEastAsia" w:hAnsiTheme="minorEastAsia" w:eastAsiaTheme="minorEastAsia" w:cstheme="minorEastAsia"/>
                <w:b/>
                <w:spacing w:val="1"/>
                <w:kern w:val="0"/>
                <w:sz w:val="24"/>
                <w:szCs w:val="24"/>
                <w:highlight w:val="none"/>
              </w:rPr>
              <w:t>0公里小修保养</w:t>
            </w:r>
            <w:r>
              <w:rPr>
                <w:rFonts w:hint="eastAsia" w:asciiTheme="minorEastAsia" w:hAnsiTheme="minorEastAsia" w:eastAsiaTheme="minorEastAsia" w:cstheme="minorEastAsia"/>
                <w:b/>
                <w:spacing w:val="1"/>
                <w:kern w:val="0"/>
                <w:sz w:val="24"/>
                <w:szCs w:val="24"/>
                <w:highlight w:val="none"/>
                <w:lang w:val="en-US" w:eastAsia="zh-CN"/>
              </w:rPr>
              <w:t>或</w:t>
            </w:r>
            <w:r>
              <w:rPr>
                <w:rFonts w:hint="eastAsia" w:asciiTheme="minorEastAsia" w:hAnsiTheme="minorEastAsia" w:eastAsiaTheme="minorEastAsia" w:cstheme="minorEastAsia"/>
                <w:b/>
                <w:spacing w:val="1"/>
                <w:kern w:val="0"/>
                <w:sz w:val="24"/>
                <w:szCs w:val="24"/>
                <w:highlight w:val="none"/>
              </w:rPr>
              <w:t>日常养护工程施工业绩</w:t>
            </w:r>
            <w:r>
              <w:rPr>
                <w:rFonts w:hint="eastAsia" w:asciiTheme="minorEastAsia" w:hAnsiTheme="minorEastAsia" w:eastAsiaTheme="minorEastAsia" w:cstheme="minorEastAsia"/>
                <w:sz w:val="24"/>
                <w:szCs w:val="24"/>
                <w:highlight w:val="none"/>
              </w:rPr>
              <w:t>加1分，最多加4.0分。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bottom w:val="single" w:color="auto" w:sz="4" w:space="0"/>
              <w:right w:val="single" w:color="auto" w:sz="4"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p>
        </w:tc>
        <w:tc>
          <w:tcPr>
            <w:tcW w:w="495"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满足业绩最低资格审查条件要求。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559" w:type="dxa"/>
            <w:vMerge w:val="restart"/>
            <w:tcBorders>
              <w:top w:val="single" w:color="auto" w:sz="6" w:space="0"/>
            </w:tcBorders>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信誉</w:t>
            </w:r>
          </w:p>
        </w:tc>
        <w:tc>
          <w:tcPr>
            <w:tcW w:w="1125" w:type="dxa"/>
            <w:vMerge w:val="restart"/>
            <w:tcBorders>
              <w:top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15分</w:t>
            </w:r>
          </w:p>
        </w:tc>
        <w:tc>
          <w:tcPr>
            <w:tcW w:w="2328" w:type="dxa"/>
            <w:vMerge w:val="restart"/>
            <w:tcBorders>
              <w:top w:val="single" w:color="auto" w:sz="4" w:space="0"/>
              <w:right w:val="single" w:color="auto" w:sz="4"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投标人的信誉评价等级</w:t>
            </w:r>
            <w:r>
              <w:rPr>
                <w:rStyle w:val="9"/>
                <w:rFonts w:hint="eastAsia" w:asciiTheme="minorEastAsia" w:hAnsiTheme="minorEastAsia" w:eastAsiaTheme="minorEastAsia" w:cstheme="minorEastAsia"/>
                <w:sz w:val="24"/>
                <w:szCs w:val="24"/>
              </w:rPr>
              <w:footnoteReference w:id="2"/>
            </w:r>
          </w:p>
        </w:tc>
        <w:tc>
          <w:tcPr>
            <w:tcW w:w="495" w:type="dxa"/>
            <w:vMerge w:val="restart"/>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1037"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26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55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right w:val="single" w:color="auto" w:sz="4"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26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55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right w:val="single" w:color="auto" w:sz="4"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无评价得11分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55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right w:val="single" w:color="auto" w:sz="4"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信誉等级B得9分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0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40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559" w:type="dxa"/>
            <w:vMerge w:val="continue"/>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1125" w:type="dxa"/>
            <w:vMerge w:val="continue"/>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2328" w:type="dxa"/>
            <w:vMerge w:val="continue"/>
            <w:tcBorders>
              <w:right w:val="single" w:color="auto" w:sz="4" w:space="0"/>
            </w:tcBorders>
            <w:noWrap w:val="0"/>
            <w:vAlign w:val="center"/>
          </w:tcPr>
          <w:p>
            <w:pPr>
              <w:adjustRightInd w:val="0"/>
              <w:snapToGrid w:val="0"/>
              <w:spacing w:line="340" w:lineRule="exact"/>
              <w:jc w:val="left"/>
              <w:rPr>
                <w:rFonts w:hint="eastAsia" w:asciiTheme="minorEastAsia" w:hAnsiTheme="minorEastAsia" w:eastAsiaTheme="minorEastAsia" w:cstheme="minorEastAsia"/>
                <w:sz w:val="24"/>
                <w:szCs w:val="24"/>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6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信誉等级C得7分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tcBorders>
              <w:top w:val="single" w:color="auto" w:sz="4" w:space="0"/>
              <w:left w:val="single" w:color="auto" w:sz="6" w:space="0"/>
              <w:bottom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2.2.4（4）</w:t>
            </w:r>
          </w:p>
        </w:tc>
        <w:tc>
          <w:tcPr>
            <w:tcW w:w="968" w:type="dxa"/>
            <w:gridSpan w:val="2"/>
            <w:tcBorders>
              <w:top w:val="single" w:color="auto" w:sz="4" w:space="0"/>
              <w:bottom w:val="single" w:color="auto" w:sz="6" w:space="0"/>
            </w:tcBorders>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评标价</w:t>
            </w:r>
          </w:p>
        </w:tc>
        <w:tc>
          <w:tcPr>
            <w:tcW w:w="1125" w:type="dxa"/>
            <w:tcBorders>
              <w:top w:val="single" w:color="auto" w:sz="4" w:space="0"/>
              <w:bottom w:val="single" w:color="auto" w:sz="6" w:space="0"/>
            </w:tcBorders>
            <w:noWrap w:val="0"/>
            <w:vAlign w:val="center"/>
          </w:tcPr>
          <w:p>
            <w:pPr>
              <w:snapToGrid w:val="0"/>
              <w:spacing w:line="340" w:lineRule="exact"/>
              <w:ind w:left="113" w:right="11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0分</w:t>
            </w:r>
          </w:p>
        </w:tc>
        <w:tc>
          <w:tcPr>
            <w:tcW w:w="2328" w:type="dxa"/>
            <w:tcBorders>
              <w:top w:val="single" w:color="auto" w:sz="4" w:space="0"/>
              <w:bottom w:val="single" w:color="auto" w:sz="6" w:space="0"/>
              <w:right w:val="single" w:color="auto" w:sz="4" w:space="0"/>
            </w:tcBorders>
            <w:noWrap w:val="0"/>
            <w:vAlign w:val="center"/>
          </w:tcPr>
          <w:p>
            <w:pPr>
              <w:adjustRightInd w:val="0"/>
              <w:snapToGrid w:val="0"/>
              <w:spacing w:line="340" w:lineRule="exact"/>
              <w:ind w:left="113" w:right="113"/>
              <w:rPr>
                <w:rFonts w:hint="eastAsia" w:asciiTheme="minorEastAsia" w:hAnsiTheme="minorEastAsia" w:eastAsiaTheme="minorEastAsia" w:cstheme="minorEastAsia"/>
                <w:sz w:val="24"/>
                <w:szCs w:val="24"/>
              </w:rPr>
            </w:pPr>
          </w:p>
        </w:tc>
        <w:tc>
          <w:tcPr>
            <w:tcW w:w="495"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c>
          <w:tcPr>
            <w:tcW w:w="1037"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rFonts w:hint="eastAsia" w:asciiTheme="minorEastAsia" w:hAnsiTheme="minorEastAsia" w:eastAsiaTheme="minorEastAsia" w:cstheme="minorEastAsia"/>
                <w:sz w:val="24"/>
                <w:szCs w:val="24"/>
              </w:rPr>
            </w:pPr>
          </w:p>
        </w:tc>
        <w:tc>
          <w:tcPr>
            <w:tcW w:w="2609" w:type="dxa"/>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rFonts w:hint="eastAsia" w:asciiTheme="minorEastAsia" w:hAnsiTheme="minorEastAsia" w:eastAsiaTheme="minorEastAsia" w:cstheme="minorEastAsia"/>
                <w:sz w:val="24"/>
                <w:szCs w:val="24"/>
              </w:rPr>
            </w:pPr>
          </w:p>
        </w:tc>
      </w:tr>
    </w:tbl>
    <w:p>
      <w:pPr>
        <w:rPr>
          <w:rFonts w:hint="eastAsia" w:asciiTheme="minorEastAsia" w:hAnsiTheme="minorEastAsia" w:eastAsiaTheme="minorEastAsia" w:cstheme="minorEastAsia"/>
          <w:sz w:val="24"/>
          <w:szCs w:val="24"/>
        </w:rPr>
      </w:pPr>
    </w:p>
    <w:p>
      <w:pPr>
        <w:pStyle w:val="3"/>
        <w:keepNext w:val="0"/>
        <w:keepLine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bookmarkEnd w:id="11"/>
    <w:bookmarkEnd w:id="12"/>
    <w:bookmarkEnd w:id="13"/>
    <w:bookmarkEnd w:id="14"/>
    <w:bookmarkEnd w:id="15"/>
    <w:bookmarkEnd w:id="16"/>
    <w:bookmarkEnd w:id="17"/>
    <w:bookmarkEnd w:id="18"/>
    <w:bookmarkEnd w:id="19"/>
    <w:bookmarkEnd w:id="20"/>
    <w:tbl>
      <w:tblPr>
        <w:tblStyle w:val="7"/>
        <w:tblW w:w="94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9"/>
        <w:gridCol w:w="5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3" w:hRule="atLeast"/>
        </w:trPr>
        <w:tc>
          <w:tcPr>
            <w:tcW w:w="23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after="100" w:afterAutospacing="1"/>
              <w:ind w:firstLine="480"/>
              <w:jc w:val="center"/>
              <w:rPr>
                <w:rFonts w:hint="eastAsia" w:asciiTheme="minorEastAsia" w:hAnsiTheme="minorEastAsia" w:eastAsiaTheme="minorEastAsia" w:cstheme="minorEastAsia"/>
                <w:sz w:val="24"/>
                <w:szCs w:val="24"/>
                <w:u w:val="wave"/>
              </w:rPr>
            </w:pPr>
            <w:r>
              <w:rPr>
                <w:rFonts w:hint="eastAsia" w:asciiTheme="minorEastAsia" w:hAnsiTheme="minorEastAsia" w:eastAsiaTheme="minorEastAsia" w:cstheme="minorEastAsia"/>
                <w:sz w:val="24"/>
                <w:szCs w:val="24"/>
              </w:rPr>
              <w:t>3.9.1</w:t>
            </w:r>
          </w:p>
        </w:tc>
        <w:tc>
          <w:tcPr>
            <w:tcW w:w="16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after="100" w:afterAutospacing="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推荐</w:t>
            </w:r>
          </w:p>
          <w:p>
            <w:pPr>
              <w:adjustRightInd w:val="0"/>
              <w:snapToGrid w:val="0"/>
              <w:spacing w:before="100" w:beforeAutospacing="1" w:after="100" w:afterAutospacing="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中标候选人</w:t>
            </w:r>
          </w:p>
        </w:tc>
        <w:tc>
          <w:tcPr>
            <w:tcW w:w="54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480" w:firstLineChars="200"/>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评标委员会根据评标办法按其评标价由低到高的顺序推荐中标候选人。</w:t>
            </w:r>
          </w:p>
          <w:p>
            <w:pPr>
              <w:autoSpaceDE w:val="0"/>
              <w:autoSpaceDN w:val="0"/>
              <w:adjustRightInd w:val="0"/>
              <w:spacing w:line="360" w:lineRule="exact"/>
              <w:ind w:firstLine="480" w:firstLineChars="200"/>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1、将投标人的投标价以人民币“元”为单位四舍五入取整作为投标人的评标价；</w:t>
            </w:r>
          </w:p>
          <w:p>
            <w:pPr>
              <w:adjustRightInd w:val="0"/>
              <w:snapToGrid w:val="0"/>
              <w:spacing w:before="46" w:beforeLines="15" w:after="46" w:afterLines="15" w:line="3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2、如同一标段出现多名投标人的评标价相同，则以第一个信封（商务及技术文件）得分高者排序在先；</w:t>
            </w:r>
          </w:p>
          <w:p>
            <w:pPr>
              <w:autoSpaceDE w:val="0"/>
              <w:autoSpaceDN w:val="0"/>
              <w:adjustRightInd w:val="0"/>
              <w:spacing w:line="3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3、如同一标段出现多名投标人的第一个信封（商务及技术文件）综合得分相等时，则按照以下所列顺位在前的优先： </w:t>
            </w:r>
          </w:p>
          <w:p>
            <w:pPr>
              <w:adjustRightInd w:val="0"/>
              <w:snapToGrid w:val="0"/>
              <w:spacing w:before="62" w:beforeLines="20" w:after="62" w:afterLines="20" w:line="360" w:lineRule="exact"/>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a.主要人员得分较高者；</w:t>
            </w:r>
          </w:p>
          <w:p>
            <w:pPr>
              <w:adjustRightInd w:val="0"/>
              <w:snapToGrid w:val="0"/>
              <w:spacing w:before="62" w:beforeLines="20" w:after="62" w:afterLines="20" w:line="360" w:lineRule="exact"/>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b.施工组织设计得分较高者；</w:t>
            </w:r>
          </w:p>
          <w:p>
            <w:pPr>
              <w:adjustRightInd w:val="0"/>
              <w:snapToGrid w:val="0"/>
              <w:spacing w:before="62" w:beforeLines="20" w:after="62" w:afterLines="20" w:line="360" w:lineRule="exact"/>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c.履约信誉得分较高者；</w:t>
            </w:r>
          </w:p>
          <w:p>
            <w:pPr>
              <w:adjustRightInd w:val="0"/>
              <w:snapToGrid w:val="0"/>
              <w:spacing w:before="62" w:beforeLines="20" w:after="62" w:afterLines="20" w:line="360" w:lineRule="exact"/>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d.技术能力得分较高者。</w:t>
            </w:r>
          </w:p>
          <w:p>
            <w:pPr>
              <w:autoSpaceDE w:val="0"/>
              <w:autoSpaceDN w:val="0"/>
              <w:adjustRightInd w:val="0"/>
              <w:spacing w:line="360" w:lineRule="exact"/>
              <w:ind w:firstLine="480" w:firstLineChars="200"/>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sz w:val="24"/>
                <w:szCs w:val="24"/>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rPr>
        <w:tc>
          <w:tcPr>
            <w:tcW w:w="9487"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hint="eastAsia"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rPr>
              <w:t>需要补充的其他内容： 无</w:t>
            </w:r>
          </w:p>
        </w:tc>
      </w:tr>
    </w:tbl>
    <w:p>
      <w:pPr>
        <w:pStyle w:val="3"/>
        <w:keepNext w:val="0"/>
        <w:keepLines w:val="0"/>
        <w:spacing w:before="0" w:after="0" w:line="415" w:lineRule="auto"/>
        <w:jc w:val="left"/>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keepNext/>
        <w:keepLines/>
        <w:spacing w:line="360" w:lineRule="auto"/>
        <w:outlineLvl w:val="2"/>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 公开时间</w:t>
      </w:r>
    </w:p>
    <w:p>
      <w:pPr>
        <w:adjustRightInd w:val="0"/>
        <w:snapToGrid w:val="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本次招标文件关键内容信息公开时间至20</w:t>
      </w:r>
      <w:r>
        <w:rPr>
          <w:rFonts w:hint="eastAsia" w:asciiTheme="minorEastAsia" w:hAnsiTheme="minorEastAsia" w:eastAsiaTheme="minorEastAsia" w:cstheme="minorEastAsia"/>
          <w:sz w:val="24"/>
          <w:szCs w:val="24"/>
          <w:lang w:val="en-US" w:eastAsia="zh-CN"/>
        </w:rPr>
        <w:t>20</w:t>
      </w:r>
      <w:r>
        <w:rPr>
          <w:rFonts w:hint="eastAsia" w:asciiTheme="minorEastAsia" w:hAnsiTheme="minorEastAsia" w:eastAsiaTheme="minorEastAsia" w:cstheme="minorEastAsia"/>
          <w:sz w:val="24"/>
          <w:szCs w:val="24"/>
        </w:rPr>
        <w:t>年0</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21</w:t>
      </w:r>
      <w:r>
        <w:rPr>
          <w:rFonts w:hint="eastAsia" w:asciiTheme="minorEastAsia" w:hAnsiTheme="minorEastAsia" w:eastAsiaTheme="minorEastAsia" w:cstheme="minorEastAsia"/>
          <w:sz w:val="24"/>
          <w:szCs w:val="24"/>
        </w:rPr>
        <w:t>日24时00分结束。</w:t>
      </w:r>
    </w:p>
    <w:p>
      <w:pPr>
        <w:keepNext/>
        <w:keepLines/>
        <w:spacing w:line="360" w:lineRule="auto"/>
        <w:outlineLvl w:val="2"/>
        <w:rPr>
          <w:rFonts w:hint="eastAsia" w:asciiTheme="minorEastAsia" w:hAnsiTheme="minorEastAsia" w:eastAsiaTheme="minorEastAsia" w:cstheme="minorEastAsia"/>
          <w:b/>
          <w:bCs/>
          <w:sz w:val="24"/>
          <w:szCs w:val="24"/>
        </w:rPr>
      </w:pPr>
      <w:bookmarkStart w:id="21" w:name="_Toc257655333"/>
      <w:bookmarkStart w:id="22" w:name="_Toc361838108"/>
      <w:bookmarkStart w:id="23" w:name="_Toc356741794"/>
      <w:bookmarkStart w:id="24" w:name="_Toc444693693"/>
      <w:r>
        <w:rPr>
          <w:rFonts w:hint="eastAsia" w:asciiTheme="minorEastAsia" w:hAnsiTheme="minorEastAsia" w:eastAsiaTheme="minorEastAsia" w:cstheme="minorEastAsia"/>
          <w:b/>
          <w:bCs/>
          <w:sz w:val="24"/>
          <w:szCs w:val="24"/>
        </w:rPr>
        <w:t>7.联系方式</w:t>
      </w:r>
      <w:bookmarkEnd w:id="21"/>
      <w:bookmarkEnd w:id="22"/>
      <w:bookmarkEnd w:id="23"/>
      <w:bookmarkEnd w:id="24"/>
    </w:p>
    <w:tbl>
      <w:tblPr>
        <w:tblStyle w:val="7"/>
        <w:tblW w:w="9708" w:type="dxa"/>
        <w:tblInd w:w="0" w:type="dxa"/>
        <w:tblLayout w:type="fixed"/>
        <w:tblCellMar>
          <w:top w:w="0" w:type="dxa"/>
          <w:left w:w="108" w:type="dxa"/>
          <w:bottom w:w="0" w:type="dxa"/>
          <w:right w:w="108" w:type="dxa"/>
        </w:tblCellMar>
      </w:tblPr>
      <w:tblGrid>
        <w:gridCol w:w="4475"/>
        <w:gridCol w:w="5233"/>
      </w:tblGrid>
      <w:tr>
        <w:tblPrEx>
          <w:tblCellMar>
            <w:top w:w="0" w:type="dxa"/>
            <w:left w:w="108" w:type="dxa"/>
            <w:bottom w:w="0" w:type="dxa"/>
            <w:right w:w="108" w:type="dxa"/>
          </w:tblCellMar>
        </w:tblPrEx>
        <w:trPr>
          <w:trHeight w:val="555" w:hRule="atLeast"/>
        </w:trPr>
        <w:tc>
          <w:tcPr>
            <w:tcW w:w="4475" w:type="dxa"/>
          </w:tcPr>
          <w:p>
            <w:pPr>
              <w:autoSpaceDE w:val="0"/>
              <w:autoSpaceDN w:val="0"/>
              <w:adjustRightInd w:val="0"/>
              <w:spacing w:line="240" w:lineRule="exact"/>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招标人：白城市洮北区县乡公路养护工程建设管理办公室</w:t>
            </w:r>
          </w:p>
        </w:tc>
        <w:tc>
          <w:tcPr>
            <w:tcW w:w="5233"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招标代理机构：吉林诚仪工程咨询有限公司</w:t>
            </w:r>
          </w:p>
        </w:tc>
      </w:tr>
      <w:tr>
        <w:tblPrEx>
          <w:tblCellMar>
            <w:top w:w="0" w:type="dxa"/>
            <w:left w:w="108" w:type="dxa"/>
            <w:bottom w:w="0" w:type="dxa"/>
            <w:right w:w="108" w:type="dxa"/>
          </w:tblCellMar>
        </w:tblPrEx>
        <w:tc>
          <w:tcPr>
            <w:tcW w:w="4475"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地  址：白城市明仁北街6号</w:t>
            </w:r>
          </w:p>
        </w:tc>
        <w:tc>
          <w:tcPr>
            <w:tcW w:w="5233"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地 址：白城市胜利西路269号</w:t>
            </w:r>
          </w:p>
        </w:tc>
      </w:tr>
      <w:tr>
        <w:tblPrEx>
          <w:tblCellMar>
            <w:top w:w="0" w:type="dxa"/>
            <w:left w:w="108" w:type="dxa"/>
            <w:bottom w:w="0" w:type="dxa"/>
            <w:right w:w="108" w:type="dxa"/>
          </w:tblCellMar>
        </w:tblPrEx>
        <w:tc>
          <w:tcPr>
            <w:tcW w:w="4475"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邮  编：137300</w:t>
            </w:r>
          </w:p>
        </w:tc>
        <w:tc>
          <w:tcPr>
            <w:tcW w:w="5233"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邮 编：137000</w:t>
            </w:r>
          </w:p>
        </w:tc>
      </w:tr>
      <w:tr>
        <w:tblPrEx>
          <w:tblCellMar>
            <w:top w:w="0" w:type="dxa"/>
            <w:left w:w="108" w:type="dxa"/>
            <w:bottom w:w="0" w:type="dxa"/>
            <w:right w:w="108" w:type="dxa"/>
          </w:tblCellMar>
        </w:tblPrEx>
        <w:tc>
          <w:tcPr>
            <w:tcW w:w="4475"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联系人：黄明</w:t>
            </w:r>
          </w:p>
        </w:tc>
        <w:tc>
          <w:tcPr>
            <w:tcW w:w="5233"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 xml:space="preserve">联系人：杨乐 于革革 </w:t>
            </w:r>
          </w:p>
        </w:tc>
      </w:tr>
      <w:tr>
        <w:tblPrEx>
          <w:tblCellMar>
            <w:top w:w="0" w:type="dxa"/>
            <w:left w:w="108" w:type="dxa"/>
            <w:bottom w:w="0" w:type="dxa"/>
            <w:right w:w="108" w:type="dxa"/>
          </w:tblCellMar>
        </w:tblPrEx>
        <w:tc>
          <w:tcPr>
            <w:tcW w:w="4475" w:type="dxa"/>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1"/>
                <w:kern w:val="0"/>
                <w:sz w:val="24"/>
                <w:szCs w:val="24"/>
              </w:rPr>
              <w:t>电  话：0436-</w:t>
            </w:r>
            <w:r>
              <w:rPr>
                <w:rFonts w:hint="eastAsia" w:asciiTheme="minorEastAsia" w:hAnsiTheme="minorEastAsia" w:eastAsiaTheme="minorEastAsia" w:cstheme="minorEastAsia"/>
                <w:color w:val="000000"/>
                <w:spacing w:val="1"/>
                <w:kern w:val="0"/>
                <w:sz w:val="24"/>
                <w:szCs w:val="24"/>
                <w:lang w:val="en-US" w:eastAsia="zh-CN"/>
              </w:rPr>
              <w:t>5891009</w:t>
            </w:r>
          </w:p>
        </w:tc>
        <w:tc>
          <w:tcPr>
            <w:tcW w:w="5233"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电话 ：0436-3511790</w:t>
            </w:r>
          </w:p>
        </w:tc>
      </w:tr>
      <w:tr>
        <w:tblPrEx>
          <w:tblCellMar>
            <w:top w:w="0" w:type="dxa"/>
            <w:left w:w="108" w:type="dxa"/>
            <w:bottom w:w="0" w:type="dxa"/>
            <w:right w:w="108" w:type="dxa"/>
          </w:tblCellMar>
        </w:tblPrEx>
        <w:tc>
          <w:tcPr>
            <w:tcW w:w="4475" w:type="dxa"/>
          </w:tcPr>
          <w:p>
            <w:pPr>
              <w:autoSpaceDE w:val="0"/>
              <w:autoSpaceDN w:val="0"/>
              <w:adjustRightInd w:val="0"/>
              <w:jc w:val="left"/>
              <w:rPr>
                <w:rFonts w:hint="eastAsia" w:asciiTheme="minorEastAsia" w:hAnsiTheme="minorEastAsia" w:eastAsiaTheme="minorEastAsia" w:cstheme="minorEastAsia"/>
                <w:color w:val="000000"/>
                <w:spacing w:val="1"/>
                <w:kern w:val="0"/>
                <w:sz w:val="24"/>
                <w:szCs w:val="24"/>
              </w:rPr>
            </w:pPr>
            <w:r>
              <w:rPr>
                <w:rFonts w:hint="eastAsia" w:asciiTheme="minorEastAsia" w:hAnsiTheme="minorEastAsia" w:eastAsiaTheme="minorEastAsia" w:cstheme="minorEastAsia"/>
                <w:color w:val="000000"/>
                <w:spacing w:val="1"/>
                <w:kern w:val="0"/>
                <w:sz w:val="24"/>
                <w:szCs w:val="24"/>
              </w:rPr>
              <w:t>邮箱:  724718012@qq.com</w:t>
            </w:r>
          </w:p>
        </w:tc>
        <w:tc>
          <w:tcPr>
            <w:tcW w:w="5233" w:type="dxa"/>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邮  箱: </w:t>
            </w:r>
            <w:r>
              <w:rPr>
                <w:rFonts w:hint="eastAsia" w:asciiTheme="minorEastAsia" w:hAnsiTheme="minorEastAsia" w:eastAsiaTheme="minorEastAsia" w:cstheme="minorEastAsia"/>
                <w:color w:val="000000"/>
                <w:spacing w:val="1"/>
                <w:kern w:val="0"/>
                <w:sz w:val="24"/>
                <w:szCs w:val="24"/>
              </w:rPr>
              <w:t>jlcyzbdl@163.com</w:t>
            </w:r>
          </w:p>
        </w:tc>
      </w:tr>
    </w:tbl>
    <w:p>
      <w:pPr>
        <w:rPr>
          <w:rFonts w:hint="eastAsia" w:asciiTheme="minorEastAsia" w:hAnsiTheme="minorEastAsia" w:eastAsiaTheme="minorEastAsia" w:cstheme="minorEastAsia"/>
          <w:sz w:val="24"/>
          <w:szCs w:val="24"/>
        </w:rPr>
      </w:pPr>
    </w:p>
    <w:sectPr>
      <w:footerReference r:id="rId4" w:type="default"/>
      <w:pgSz w:w="11906" w:h="16838"/>
      <w:pgMar w:top="1134" w:right="1077"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rPr>
      <w:t>1</w:t>
    </w:r>
    <w:r>
      <w:rPr>
        <w:lang w:val="zh-CN"/>
      </w:rPr>
      <w:fldChar w:fldCharType="end"/>
    </w:r>
  </w:p>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rPr>
          <w:rFonts w:hint="eastAsia"/>
        </w:rPr>
      </w:pPr>
      <w:r>
        <w:rPr>
          <w:rStyle w:val="9"/>
        </w:rPr>
        <w:footnoteRef/>
      </w:r>
      <w:r>
        <w:rPr>
          <w:rFonts w:hint="eastAsia" w:ascii="黑体" w:hAnsi="黑体" w:eastAsia="黑体"/>
        </w:rPr>
        <w:t>投标人经审计的</w:t>
      </w:r>
      <w:r>
        <w:rPr>
          <w:rFonts w:hint="eastAsia" w:ascii="黑体" w:hAnsi="黑体" w:eastAsia="黑体"/>
          <w:b/>
        </w:rPr>
        <w:t>2018年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16"/>
        <w:shd w:val="clear" w:color="auto" w:fill="auto"/>
        <w:spacing w:before="0" w:line="319" w:lineRule="exact"/>
        <w:ind w:left="300"/>
        <w:jc w:val="both"/>
        <w:rPr>
          <w:rFonts w:hint="eastAsia" w:ascii="黑体" w:hAnsi="黑体" w:eastAsia="黑体" w:cs="黑体"/>
          <w:highlight w:val="cyan"/>
        </w:rPr>
      </w:pPr>
      <w:r>
        <w:rPr>
          <w:rStyle w:val="9"/>
          <w:rFonts w:hint="eastAsia" w:ascii="黑体" w:hAnsi="黑体" w:eastAsia="黑体" w:cs="黑体"/>
        </w:rPr>
        <w:footnoteRef/>
      </w:r>
      <w:r>
        <w:rPr>
          <w:rFonts w:hint="eastAsia" w:ascii="黑体" w:hAnsi="黑体" w:eastAsia="黑体" w:cs="黑体"/>
        </w:rPr>
        <w:t xml:space="preserve"> 招标人应根据项目具体情况确定各评分因素及评分因素权重分值，并对各评分因素进行细分（如有）、确定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6"/>
        <w:jc w:val="both"/>
        <w:rPr>
          <w:rFonts w:ascii="宋体" w:hAnsi="宋体"/>
          <w:lang w:eastAsia="zh-TW"/>
        </w:rPr>
      </w:pPr>
    </w:p>
  </w:footnote>
  <w:footnote w:id="2">
    <w:p>
      <w:pPr>
        <w:pStyle w:val="6"/>
        <w:rPr>
          <w:rFonts w:hint="eastAsia" w:ascii="黑体" w:hAnsi="黑体" w:eastAsia="黑体" w:cs="黑体"/>
        </w:rPr>
      </w:pPr>
      <w:r>
        <w:rPr>
          <w:rStyle w:val="9"/>
          <w:rFonts w:hint="eastAsia" w:ascii="黑体" w:hAnsi="黑体" w:eastAsia="黑体" w:cs="黑体"/>
        </w:rPr>
        <w:footnoteRef/>
      </w:r>
      <w:r>
        <w:rPr>
          <w:rFonts w:hint="eastAsia" w:ascii="黑体" w:hAnsi="黑体" w:eastAsia="黑体" w:cs="黑体"/>
        </w:rPr>
        <w:t xml:space="preserve">a.投标人信用评价等级：指投标人吉林省信用评价等级或投标人全国信用评价等级。 </w:t>
      </w:r>
    </w:p>
    <w:p>
      <w:pPr>
        <w:pStyle w:val="6"/>
        <w:rPr>
          <w:rFonts w:hint="eastAsia" w:ascii="黑体" w:hAnsi="黑体" w:eastAsia="黑体" w:cs="黑体"/>
        </w:rPr>
      </w:pPr>
      <w:r>
        <w:rPr>
          <w:rFonts w:hint="eastAsia" w:ascii="黑体" w:hAnsi="黑体" w:eastAsia="黑体" w:cs="黑体"/>
        </w:rPr>
        <w:t>b、投标人吉林省信用评价等级：指投标人在吉林省交通运输厅发布的 “关于发布201</w:t>
      </w:r>
      <w:r>
        <w:rPr>
          <w:rFonts w:hint="eastAsia" w:ascii="黑体" w:hAnsi="黑体" w:eastAsia="黑体" w:cs="黑体"/>
          <w:lang w:val="en-US" w:eastAsia="zh-CN"/>
        </w:rPr>
        <w:t>8</w:t>
      </w:r>
      <w:r>
        <w:rPr>
          <w:rFonts w:hint="eastAsia" w:ascii="黑体" w:hAnsi="黑体" w:eastAsia="黑体" w:cs="黑体"/>
        </w:rPr>
        <w:t>年度公路设计、施工企业吉林省省级综合评价结果的公告”中的201</w:t>
      </w:r>
      <w:r>
        <w:rPr>
          <w:rFonts w:hint="eastAsia" w:ascii="黑体" w:hAnsi="黑体" w:eastAsia="黑体" w:cs="黑体"/>
          <w:lang w:val="en-US" w:eastAsia="zh-CN"/>
        </w:rPr>
        <w:t>8</w:t>
      </w:r>
      <w:r>
        <w:rPr>
          <w:rFonts w:hint="eastAsia" w:ascii="黑体" w:hAnsi="黑体" w:eastAsia="黑体" w:cs="黑体"/>
        </w:rPr>
        <w:t>年的信用等级；投标人全国信用评价等级：指投标人在“全国公路建设市场信用信息管理系统”中“全国公路从业单位信用评价结果”中“201</w:t>
      </w:r>
      <w:r>
        <w:rPr>
          <w:rFonts w:hint="eastAsia" w:ascii="黑体" w:hAnsi="黑体" w:eastAsia="黑体" w:cs="黑体"/>
          <w:lang w:val="en-US" w:eastAsia="zh-CN"/>
        </w:rPr>
        <w:t>8</w:t>
      </w:r>
      <w:r>
        <w:rPr>
          <w:rFonts w:hint="eastAsia" w:ascii="黑体" w:hAnsi="黑体" w:eastAsia="黑体" w:cs="黑体"/>
        </w:rPr>
        <w:t xml:space="preserve">年施工单位”选项中的信用等级。 </w:t>
      </w:r>
    </w:p>
    <w:p>
      <w:pPr>
        <w:pStyle w:val="6"/>
        <w:rPr>
          <w:rFonts w:hint="eastAsia" w:ascii="黑体" w:hAnsi="黑体" w:eastAsia="黑体" w:cs="黑体"/>
        </w:rPr>
      </w:pPr>
      <w:r>
        <w:rPr>
          <w:rFonts w:hint="eastAsia" w:ascii="黑体" w:hAnsi="黑体" w:eastAsia="黑体" w:cs="黑体"/>
        </w:rPr>
        <w:t xml:space="preserve">c.投标人吉林省信用评价等级和投标人全国信用评价等级二者均有时，以两种信用评价等级高的为准。 </w:t>
      </w:r>
    </w:p>
    <w:p>
      <w:pPr>
        <w:pStyle w:val="6"/>
        <w:rPr>
          <w:rFonts w:hint="eastAsia" w:ascii="黑体" w:hAnsi="黑体" w:eastAsia="黑体" w:cs="黑体"/>
        </w:rPr>
      </w:pPr>
      <w:r>
        <w:rPr>
          <w:rFonts w:hint="eastAsia" w:ascii="黑体" w:hAnsi="黑体" w:eastAsia="黑体" w:cs="黑体"/>
        </w:rPr>
        <w:t>d.无评价指投标人吉林省信用评价等级和投标人全国信用评价等级二者均没有的情况。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183F00"/>
    <w:multiLevelType w:val="singleLevel"/>
    <w:tmpl w:val="EF183F0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151C"/>
    <w:rsid w:val="000746E8"/>
    <w:rsid w:val="00081182"/>
    <w:rsid w:val="00084B2F"/>
    <w:rsid w:val="000D1627"/>
    <w:rsid w:val="000F0E28"/>
    <w:rsid w:val="000F278E"/>
    <w:rsid w:val="00107EFF"/>
    <w:rsid w:val="00117FEF"/>
    <w:rsid w:val="00123684"/>
    <w:rsid w:val="00156457"/>
    <w:rsid w:val="00166511"/>
    <w:rsid w:val="00186DF5"/>
    <w:rsid w:val="001E2E0A"/>
    <w:rsid w:val="00230D28"/>
    <w:rsid w:val="002313C9"/>
    <w:rsid w:val="00233E18"/>
    <w:rsid w:val="00236404"/>
    <w:rsid w:val="002426E6"/>
    <w:rsid w:val="00261AFE"/>
    <w:rsid w:val="00272488"/>
    <w:rsid w:val="00291BBD"/>
    <w:rsid w:val="002A4576"/>
    <w:rsid w:val="002B2205"/>
    <w:rsid w:val="002B363E"/>
    <w:rsid w:val="002F61FC"/>
    <w:rsid w:val="0030483F"/>
    <w:rsid w:val="003401E5"/>
    <w:rsid w:val="003471AD"/>
    <w:rsid w:val="00355B76"/>
    <w:rsid w:val="003C3E22"/>
    <w:rsid w:val="003F01B0"/>
    <w:rsid w:val="003F6D58"/>
    <w:rsid w:val="00402717"/>
    <w:rsid w:val="004054E7"/>
    <w:rsid w:val="00456F9C"/>
    <w:rsid w:val="004A419B"/>
    <w:rsid w:val="004E3ECD"/>
    <w:rsid w:val="004F41BD"/>
    <w:rsid w:val="00571251"/>
    <w:rsid w:val="005771E8"/>
    <w:rsid w:val="00592352"/>
    <w:rsid w:val="005A4447"/>
    <w:rsid w:val="005E6276"/>
    <w:rsid w:val="00693EC6"/>
    <w:rsid w:val="006A1F8A"/>
    <w:rsid w:val="006D47E4"/>
    <w:rsid w:val="007622E8"/>
    <w:rsid w:val="00781441"/>
    <w:rsid w:val="007D149D"/>
    <w:rsid w:val="007F1F0C"/>
    <w:rsid w:val="008B3436"/>
    <w:rsid w:val="008B7E8B"/>
    <w:rsid w:val="008D5F07"/>
    <w:rsid w:val="008F26A7"/>
    <w:rsid w:val="00914A67"/>
    <w:rsid w:val="00921491"/>
    <w:rsid w:val="00970688"/>
    <w:rsid w:val="009A0B2F"/>
    <w:rsid w:val="009B614B"/>
    <w:rsid w:val="009C32D3"/>
    <w:rsid w:val="009E0899"/>
    <w:rsid w:val="009E6D5D"/>
    <w:rsid w:val="009F5948"/>
    <w:rsid w:val="00A03BCA"/>
    <w:rsid w:val="00A05BE2"/>
    <w:rsid w:val="00A303C4"/>
    <w:rsid w:val="00A446D5"/>
    <w:rsid w:val="00A4486F"/>
    <w:rsid w:val="00A50913"/>
    <w:rsid w:val="00A57171"/>
    <w:rsid w:val="00A57F1A"/>
    <w:rsid w:val="00A67B3E"/>
    <w:rsid w:val="00AA070A"/>
    <w:rsid w:val="00AC7B55"/>
    <w:rsid w:val="00B03CEE"/>
    <w:rsid w:val="00B35A4A"/>
    <w:rsid w:val="00B4090A"/>
    <w:rsid w:val="00B52A76"/>
    <w:rsid w:val="00B709F1"/>
    <w:rsid w:val="00B9071C"/>
    <w:rsid w:val="00BA0162"/>
    <w:rsid w:val="00BC2565"/>
    <w:rsid w:val="00BE472A"/>
    <w:rsid w:val="00BF5859"/>
    <w:rsid w:val="00C11AEF"/>
    <w:rsid w:val="00C11EDC"/>
    <w:rsid w:val="00C44430"/>
    <w:rsid w:val="00C4638C"/>
    <w:rsid w:val="00C83E90"/>
    <w:rsid w:val="00C8680E"/>
    <w:rsid w:val="00C933A3"/>
    <w:rsid w:val="00C94121"/>
    <w:rsid w:val="00CB35C2"/>
    <w:rsid w:val="00CD5B8C"/>
    <w:rsid w:val="00CD64BE"/>
    <w:rsid w:val="00CE2D4A"/>
    <w:rsid w:val="00D007F1"/>
    <w:rsid w:val="00D311E0"/>
    <w:rsid w:val="00D46EDA"/>
    <w:rsid w:val="00D6151C"/>
    <w:rsid w:val="00DB3834"/>
    <w:rsid w:val="00DD6BEA"/>
    <w:rsid w:val="00DF42E0"/>
    <w:rsid w:val="00DF6E66"/>
    <w:rsid w:val="00E14034"/>
    <w:rsid w:val="00E353DE"/>
    <w:rsid w:val="00E4151C"/>
    <w:rsid w:val="00E60B71"/>
    <w:rsid w:val="00E64DF0"/>
    <w:rsid w:val="00E85718"/>
    <w:rsid w:val="00E96345"/>
    <w:rsid w:val="00EB5FD2"/>
    <w:rsid w:val="00EC55F9"/>
    <w:rsid w:val="00F1423D"/>
    <w:rsid w:val="00F2391A"/>
    <w:rsid w:val="00F410A8"/>
    <w:rsid w:val="00F6659C"/>
    <w:rsid w:val="00F83F0B"/>
    <w:rsid w:val="00FA4F5A"/>
    <w:rsid w:val="00FE6756"/>
    <w:rsid w:val="00FF1019"/>
    <w:rsid w:val="0B2835B9"/>
    <w:rsid w:val="0B37498D"/>
    <w:rsid w:val="0FD36A45"/>
    <w:rsid w:val="11DB0CD1"/>
    <w:rsid w:val="14C7015C"/>
    <w:rsid w:val="15284150"/>
    <w:rsid w:val="152B3C36"/>
    <w:rsid w:val="19602EC3"/>
    <w:rsid w:val="1F147181"/>
    <w:rsid w:val="207E7827"/>
    <w:rsid w:val="28060BEE"/>
    <w:rsid w:val="295E52EA"/>
    <w:rsid w:val="2D8E75CB"/>
    <w:rsid w:val="38351F85"/>
    <w:rsid w:val="41A15981"/>
    <w:rsid w:val="4C8740B4"/>
    <w:rsid w:val="56D53301"/>
    <w:rsid w:val="5B995050"/>
    <w:rsid w:val="5D2055D5"/>
    <w:rsid w:val="61120137"/>
    <w:rsid w:val="65FB5FB8"/>
    <w:rsid w:val="74CC3304"/>
    <w:rsid w:val="75A238D1"/>
    <w:rsid w:val="776D5FFA"/>
    <w:rsid w:val="782D51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locked/>
    <w:uiPriority w:val="0"/>
    <w:pPr>
      <w:keepNext/>
      <w:keepLines/>
      <w:spacing w:before="260" w:after="260" w:line="416" w:lineRule="auto"/>
      <w:outlineLvl w:val="1"/>
    </w:pPr>
    <w:rPr>
      <w:rFonts w:ascii="Cambria" w:hAnsi="Cambria"/>
      <w:b/>
      <w:bCs/>
      <w:kern w:val="0"/>
      <w:sz w:val="32"/>
      <w:szCs w:val="32"/>
    </w:rPr>
  </w:style>
  <w:style w:type="paragraph" w:styleId="3">
    <w:name w:val="heading 3"/>
    <w:basedOn w:val="1"/>
    <w:next w:val="1"/>
    <w:link w:val="13"/>
    <w:qFormat/>
    <w:locked/>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footer"/>
    <w:basedOn w:val="1"/>
    <w:link w:val="12"/>
    <w:qFormat/>
    <w:uiPriority w:val="99"/>
    <w:pPr>
      <w:tabs>
        <w:tab w:val="center" w:pos="4153"/>
        <w:tab w:val="right" w:pos="8306"/>
      </w:tabs>
      <w:snapToGrid w:val="0"/>
      <w:jc w:val="left"/>
    </w:pPr>
    <w:rPr>
      <w:kern w:val="0"/>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kern w:val="0"/>
      <w:sz w:val="18"/>
      <w:szCs w:val="18"/>
    </w:rPr>
  </w:style>
  <w:style w:type="paragraph" w:styleId="6">
    <w:name w:val="footnote text"/>
    <w:basedOn w:val="1"/>
    <w:link w:val="10"/>
    <w:qFormat/>
    <w:uiPriority w:val="99"/>
    <w:pPr>
      <w:snapToGrid w:val="0"/>
      <w:jc w:val="left"/>
    </w:pPr>
    <w:rPr>
      <w:kern w:val="0"/>
      <w:sz w:val="18"/>
      <w:szCs w:val="18"/>
    </w:rPr>
  </w:style>
  <w:style w:type="character" w:styleId="9">
    <w:name w:val="footnote reference"/>
    <w:qFormat/>
    <w:uiPriority w:val="0"/>
    <w:rPr>
      <w:rFonts w:cs="Times New Roman"/>
      <w:vertAlign w:val="superscript"/>
    </w:rPr>
  </w:style>
  <w:style w:type="character" w:customStyle="1" w:styleId="10">
    <w:name w:val="脚注文本 字符"/>
    <w:link w:val="6"/>
    <w:qFormat/>
    <w:locked/>
    <w:uiPriority w:val="99"/>
    <w:rPr>
      <w:rFonts w:ascii="Calibri" w:hAnsi="Calibri" w:eastAsia="宋体" w:cs="Times New Roman"/>
      <w:sz w:val="18"/>
      <w:szCs w:val="18"/>
    </w:rPr>
  </w:style>
  <w:style w:type="character" w:customStyle="1" w:styleId="11">
    <w:name w:val="页眉 字符"/>
    <w:link w:val="5"/>
    <w:qFormat/>
    <w:locked/>
    <w:uiPriority w:val="0"/>
    <w:rPr>
      <w:rFonts w:ascii="Calibri" w:hAnsi="Calibri" w:eastAsia="宋体" w:cs="Times New Roman"/>
      <w:sz w:val="18"/>
      <w:szCs w:val="18"/>
    </w:rPr>
  </w:style>
  <w:style w:type="character" w:customStyle="1" w:styleId="12">
    <w:name w:val="页脚 字符"/>
    <w:link w:val="4"/>
    <w:qFormat/>
    <w:locked/>
    <w:uiPriority w:val="99"/>
    <w:rPr>
      <w:rFonts w:ascii="Calibri" w:hAnsi="Calibri" w:eastAsia="宋体" w:cs="Times New Roman"/>
      <w:sz w:val="18"/>
      <w:szCs w:val="18"/>
    </w:rPr>
  </w:style>
  <w:style w:type="character" w:customStyle="1" w:styleId="13">
    <w:name w:val="标题 3 字符"/>
    <w:link w:val="3"/>
    <w:qFormat/>
    <w:uiPriority w:val="0"/>
    <w:rPr>
      <w:b/>
      <w:bCs/>
      <w:kern w:val="2"/>
      <w:sz w:val="32"/>
      <w:szCs w:val="32"/>
    </w:rPr>
  </w:style>
  <w:style w:type="paragraph" w:customStyle="1" w:styleId="14">
    <w:name w:val="样式3"/>
    <w:basedOn w:val="1"/>
    <w:qFormat/>
    <w:uiPriority w:val="0"/>
    <w:pPr>
      <w:keepNext/>
      <w:keepLines/>
      <w:spacing w:line="400" w:lineRule="exact"/>
      <w:outlineLvl w:val="0"/>
    </w:pPr>
    <w:rPr>
      <w:rFonts w:ascii="Times New Roman" w:hAnsi="Times New Roman"/>
      <w:b/>
      <w:bCs/>
      <w:kern w:val="44"/>
      <w:sz w:val="28"/>
      <w:szCs w:val="44"/>
    </w:rPr>
  </w:style>
  <w:style w:type="character" w:customStyle="1" w:styleId="15">
    <w:name w:val="正文文本 (14)_"/>
    <w:link w:val="16"/>
    <w:qFormat/>
    <w:uiPriority w:val="0"/>
    <w:rPr>
      <w:rFonts w:ascii="宋体" w:hAnsi="宋体" w:cs="宋体"/>
      <w:sz w:val="18"/>
      <w:szCs w:val="18"/>
      <w:shd w:val="clear" w:color="auto" w:fill="FFFFFF"/>
    </w:rPr>
  </w:style>
  <w:style w:type="paragraph" w:customStyle="1" w:styleId="16">
    <w:name w:val="正文文本 (14)"/>
    <w:basedOn w:val="1"/>
    <w:link w:val="15"/>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925</Words>
  <Characters>5274</Characters>
  <Lines>43</Lines>
  <Paragraphs>12</Paragraphs>
  <TotalTime>1</TotalTime>
  <ScaleCrop>false</ScaleCrop>
  <LinksUpToDate>false</LinksUpToDate>
  <CharactersWithSpaces>6187</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2016-06-13T06:04:00Z</dcterms:created>
  <dc:creator>usq</dc:creator>
  <cp:lastModifiedBy>欧阳志泳</cp:lastModifiedBy>
  <dcterms:modified xsi:type="dcterms:W3CDTF">2020-01-07T08:13:39Z</dcterms:modified>
  <dc:title>洮南市2016年农村公路建设项目（县道洮南-舍力）施工招标</dc:title>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