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>第三部分 情况说明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>一、202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color w:val="auto"/>
          <w:sz w:val="32"/>
          <w:szCs w:val="32"/>
        </w:rPr>
        <w:t>年收支预算总体情况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按照综合预算的原则，所有收入和支出全部纳入部门预算管理。收入包括：一般公共预算拨款收入、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事业及经营收入、</w:t>
      </w:r>
      <w:r>
        <w:rPr>
          <w:rFonts w:ascii="仿宋" w:hAnsi="仿宋" w:eastAsia="仿宋"/>
          <w:color w:val="auto"/>
          <w:sz w:val="32"/>
          <w:szCs w:val="32"/>
        </w:rPr>
        <w:t>其他收入、上年结转；支出包括：一般公共服务支出、社会保障和就业支出、卫生健康支出、住房保障支出。202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color w:val="auto"/>
          <w:sz w:val="32"/>
          <w:szCs w:val="32"/>
        </w:rPr>
        <w:t>年收支总预算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万元, 比20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22</w:t>
      </w:r>
      <w:r>
        <w:rPr>
          <w:rFonts w:ascii="仿宋" w:hAnsi="仿宋" w:eastAsia="仿宋"/>
          <w:color w:val="auto"/>
          <w:sz w:val="32"/>
          <w:szCs w:val="32"/>
        </w:rPr>
        <w:t>年预算增加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ascii="仿宋" w:hAnsi="仿宋" w:eastAsia="仿宋"/>
          <w:color w:val="auto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>二、202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color w:val="auto"/>
          <w:sz w:val="32"/>
          <w:szCs w:val="32"/>
        </w:rPr>
        <w:t>年收入预算情况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color w:val="auto"/>
          <w:sz w:val="32"/>
          <w:szCs w:val="32"/>
        </w:rPr>
        <w:t>年收入预算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ascii="仿宋" w:hAnsi="仿宋" w:eastAsia="仿宋"/>
          <w:color w:val="auto"/>
          <w:sz w:val="32"/>
          <w:szCs w:val="32"/>
        </w:rPr>
        <w:t>万元，其中：本年收入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%；上年结转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%；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事业及经营收入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%；其他收入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 xml:space="preserve"> 三、202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color w:val="auto"/>
          <w:sz w:val="32"/>
          <w:szCs w:val="32"/>
        </w:rPr>
        <w:t>年支出预算情况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color w:val="auto"/>
          <w:sz w:val="32"/>
          <w:szCs w:val="32"/>
        </w:rPr>
        <w:t>年支出预算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万元，其中：基本支出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%；项目支出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%；公用经费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color w:val="auto"/>
          <w:sz w:val="32"/>
          <w:szCs w:val="32"/>
        </w:rPr>
        <w:t>年财政拨款收支预算情况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color w:val="auto"/>
          <w:sz w:val="32"/>
          <w:szCs w:val="32"/>
        </w:rPr>
        <w:t>年财政拨款收支总预算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ascii="仿宋" w:hAnsi="仿宋" w:eastAsia="仿宋"/>
          <w:color w:val="auto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38.29</w:t>
      </w:r>
      <w:r>
        <w:rPr>
          <w:rFonts w:ascii="仿宋" w:hAnsi="仿宋" w:eastAsia="仿宋"/>
          <w:color w:val="auto"/>
          <w:sz w:val="32"/>
          <w:szCs w:val="32"/>
        </w:rPr>
        <w:t>万元。支出包括：一般公共服务支出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ascii="仿宋" w:hAnsi="仿宋" w:eastAsia="仿宋"/>
          <w:color w:val="auto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</w:rPr>
        <w:t>万元，卫生健康支出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</w:rPr>
        <w:t>万元，住房保障支出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</w:t>
      </w:r>
      <w:r>
        <w:rPr>
          <w:rFonts w:ascii="黑体" w:hAnsi="黑体" w:eastAsia="黑体"/>
          <w:color w:val="auto"/>
          <w:sz w:val="32"/>
          <w:szCs w:val="32"/>
        </w:rPr>
        <w:t>五、202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color w:val="auto"/>
          <w:sz w:val="32"/>
          <w:szCs w:val="32"/>
        </w:rPr>
        <w:t xml:space="preserve">年一般公共预算财政拨款情况 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color w:val="auto"/>
          <w:sz w:val="32"/>
          <w:szCs w:val="32"/>
        </w:rPr>
        <w:t>年一般公共预算当年拨款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万元，其中：基本支出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100</w:t>
      </w:r>
      <w:r>
        <w:rPr>
          <w:rFonts w:ascii="仿宋" w:hAnsi="仿宋" w:eastAsia="仿宋"/>
          <w:color w:val="auto"/>
          <w:sz w:val="32"/>
          <w:szCs w:val="32"/>
        </w:rPr>
        <w:t>%；项目支出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100</w:t>
      </w:r>
      <w:r>
        <w:rPr>
          <w:rFonts w:ascii="仿宋" w:hAnsi="仿宋" w:eastAsia="仿宋"/>
          <w:color w:val="auto"/>
          <w:sz w:val="32"/>
          <w:szCs w:val="32"/>
        </w:rPr>
        <w:t>%；公用经费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</w:rPr>
        <w:t>%。 一般公共服务（类）支出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100</w:t>
      </w:r>
      <w:r>
        <w:rPr>
          <w:rFonts w:ascii="仿宋" w:hAnsi="仿宋" w:eastAsia="仿宋"/>
          <w:color w:val="auto"/>
          <w:sz w:val="32"/>
          <w:szCs w:val="32"/>
        </w:rPr>
        <w:t>%，主要用于行政事业单位人员工资、机构运行经费及</w:t>
      </w:r>
      <w:r>
        <w:rPr>
          <w:rFonts w:hint="eastAsia" w:ascii="仿宋" w:hAnsi="仿宋" w:eastAsia="仿宋"/>
          <w:color w:val="auto"/>
          <w:sz w:val="32"/>
          <w:szCs w:val="32"/>
        </w:rPr>
        <w:t>XXXX</w:t>
      </w:r>
      <w:r>
        <w:rPr>
          <w:rFonts w:ascii="仿宋" w:hAnsi="仿宋" w:eastAsia="仿宋"/>
          <w:color w:val="auto"/>
          <w:sz w:val="32"/>
          <w:szCs w:val="32"/>
        </w:rPr>
        <w:t>事务方面的项目支出等。 社会保障和就业（类）支出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</w:rPr>
        <w:t>%，主要用于行政事业单位离退休人员经费支出。 卫生健康（类）支出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</w:rPr>
        <w:t>%，主要用于行政事业单位基本医疗保险缴费支出。住房保障（类）支出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color w:val="auto"/>
          <w:sz w:val="32"/>
          <w:szCs w:val="32"/>
        </w:rPr>
        <w:t>年一般公共预算基本支出情况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2022</w:t>
      </w:r>
      <w:r>
        <w:rPr>
          <w:rFonts w:ascii="仿宋" w:hAnsi="仿宋" w:eastAsia="仿宋"/>
          <w:color w:val="auto"/>
          <w:sz w:val="32"/>
          <w:szCs w:val="32"/>
        </w:rPr>
        <w:t>年一般公共预算基本支出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ascii="仿宋" w:hAnsi="仿宋" w:eastAsia="仿宋"/>
          <w:color w:val="auto"/>
          <w:sz w:val="32"/>
          <w:szCs w:val="32"/>
        </w:rPr>
        <w:t>万元，其中</w:t>
      </w:r>
      <w:r>
        <w:rPr>
          <w:rFonts w:hint="eastAsia" w:ascii="仿宋" w:hAnsi="仿宋" w:eastAsia="仿宋"/>
          <w:color w:val="auto"/>
          <w:sz w:val="32"/>
          <w:szCs w:val="32"/>
        </w:rPr>
        <w:t>:</w:t>
      </w:r>
      <w:r>
        <w:rPr>
          <w:rFonts w:ascii="仿宋" w:hAnsi="仿宋" w:eastAsia="仿宋"/>
          <w:color w:val="auto"/>
          <w:sz w:val="32"/>
          <w:szCs w:val="32"/>
        </w:rPr>
        <w:t>人员经费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38.29</w:t>
      </w:r>
      <w:r>
        <w:rPr>
          <w:rFonts w:ascii="仿宋" w:hAnsi="仿宋" w:eastAsia="仿宋"/>
          <w:color w:val="auto"/>
          <w:sz w:val="32"/>
          <w:szCs w:val="32"/>
        </w:rPr>
        <w:t>万元，主要包括：基本工资、津贴补贴、奖金、绩效工资、机关事业单位基本养老保险缴费、职工基本 医疗保险缴费、公务员医疗补助缴费、其他社会保障缴费、住房公积金、医疗费、其他工资福利支出、离休费、其他对个人 和家庭的补助支出。公用经费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bookmarkStart w:id="0" w:name="_GoBack"/>
      <w:bookmarkEnd w:id="0"/>
      <w:r>
        <w:rPr>
          <w:rFonts w:ascii="仿宋" w:hAnsi="仿宋" w:eastAsia="仿宋"/>
          <w:color w:val="auto"/>
          <w:sz w:val="32"/>
          <w:szCs w:val="32"/>
        </w:rPr>
        <w:t>万元，主要包括：办公费、印刷费、咨询费、手续费、水费、电费、邮电费、取暖费、物业管理费、差旅费、维修（护）费、租赁费、会议费、培训费、公务接待费、劳务费、委托业务费、工会经费、福利费、公务用车运行维护费、其他交通费用、其他商品和服务支出。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</w:t>
      </w:r>
      <w:r>
        <w:rPr>
          <w:rFonts w:ascii="黑体" w:hAnsi="黑体" w:eastAsia="黑体"/>
          <w:color w:val="auto"/>
          <w:sz w:val="32"/>
          <w:szCs w:val="32"/>
        </w:rPr>
        <w:t>七、202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color w:val="auto"/>
          <w:sz w:val="32"/>
          <w:szCs w:val="32"/>
        </w:rPr>
        <w:t xml:space="preserve">年一般公共预算财政拨款“三公”经费情况 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color w:val="auto"/>
          <w:sz w:val="32"/>
          <w:szCs w:val="32"/>
        </w:rPr>
        <w:t xml:space="preserve"> 年“三公”经费预算数为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万元，比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221</w:t>
      </w:r>
      <w:r>
        <w:rPr>
          <w:rFonts w:ascii="仿宋" w:hAnsi="仿宋" w:eastAsia="仿宋"/>
          <w:color w:val="auto"/>
          <w:sz w:val="32"/>
          <w:szCs w:val="32"/>
        </w:rPr>
        <w:t>年预算数</w:t>
      </w:r>
      <w:r>
        <w:rPr>
          <w:rFonts w:hint="eastAsia" w:ascii="仿宋" w:hAnsi="仿宋" w:eastAsia="仿宋"/>
          <w:color w:val="auto"/>
          <w:sz w:val="32"/>
          <w:szCs w:val="32"/>
        </w:rPr>
        <w:t>增加（或</w:t>
      </w:r>
      <w:r>
        <w:rPr>
          <w:rFonts w:ascii="仿宋" w:hAnsi="仿宋" w:eastAsia="仿宋"/>
          <w:color w:val="auto"/>
          <w:sz w:val="32"/>
          <w:szCs w:val="32"/>
        </w:rPr>
        <w:t>减少</w:t>
      </w:r>
      <w:r>
        <w:rPr>
          <w:rFonts w:hint="eastAsia" w:ascii="仿宋" w:hAnsi="仿宋" w:eastAsia="仿宋"/>
          <w:color w:val="auto"/>
          <w:sz w:val="32"/>
          <w:szCs w:val="32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比</w:t>
      </w:r>
      <w:r>
        <w:rPr>
          <w:rFonts w:ascii="仿宋" w:hAnsi="仿宋" w:eastAsia="仿宋"/>
          <w:color w:val="auto"/>
          <w:sz w:val="32"/>
          <w:szCs w:val="32"/>
        </w:rPr>
        <w:t xml:space="preserve">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22</w:t>
      </w:r>
      <w:r>
        <w:rPr>
          <w:rFonts w:ascii="仿宋" w:hAnsi="仿宋" w:eastAsia="仿宋"/>
          <w:color w:val="auto"/>
          <w:sz w:val="32"/>
          <w:szCs w:val="32"/>
        </w:rPr>
        <w:t>年预算数</w:t>
      </w:r>
      <w:r>
        <w:rPr>
          <w:rFonts w:hint="eastAsia" w:ascii="仿宋" w:hAnsi="仿宋" w:eastAsia="仿宋"/>
          <w:color w:val="auto"/>
          <w:sz w:val="32"/>
          <w:szCs w:val="32"/>
        </w:rPr>
        <w:t>增加（或减少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</w:rPr>
        <w:t>万元</w:t>
      </w:r>
      <w:r>
        <w:rPr>
          <w:rFonts w:ascii="仿宋" w:hAnsi="仿宋" w:eastAsia="仿宋"/>
          <w:color w:val="auto"/>
          <w:sz w:val="32"/>
          <w:szCs w:val="32"/>
        </w:rPr>
        <w:t>。 2.公务接待费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万元，比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color w:val="auto"/>
          <w:sz w:val="32"/>
          <w:szCs w:val="32"/>
        </w:rPr>
        <w:t>年预算数</w:t>
      </w:r>
      <w:r>
        <w:rPr>
          <w:rFonts w:hint="eastAsia" w:ascii="仿宋" w:hAnsi="仿宋" w:eastAsia="仿宋"/>
          <w:color w:val="auto"/>
          <w:sz w:val="32"/>
          <w:szCs w:val="32"/>
        </w:rPr>
        <w:t>增加（或</w:t>
      </w:r>
      <w:r>
        <w:rPr>
          <w:rFonts w:ascii="仿宋" w:hAnsi="仿宋" w:eastAsia="仿宋"/>
          <w:color w:val="auto"/>
          <w:sz w:val="32"/>
          <w:szCs w:val="32"/>
        </w:rPr>
        <w:t>减少</w:t>
      </w:r>
      <w:r>
        <w:rPr>
          <w:rFonts w:hint="eastAsia" w:ascii="仿宋" w:hAnsi="仿宋" w:eastAsia="仿宋"/>
          <w:color w:val="auto"/>
          <w:sz w:val="32"/>
          <w:szCs w:val="32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万元，主要原因是外事接待工作任务</w:t>
      </w:r>
      <w:r>
        <w:rPr>
          <w:rFonts w:hint="eastAsia" w:ascii="仿宋" w:hAnsi="仿宋" w:eastAsia="仿宋"/>
          <w:color w:val="auto"/>
          <w:sz w:val="32"/>
          <w:szCs w:val="32"/>
        </w:rPr>
        <w:t>增加（或</w:t>
      </w:r>
      <w:r>
        <w:rPr>
          <w:rFonts w:ascii="仿宋" w:hAnsi="仿宋" w:eastAsia="仿宋"/>
          <w:color w:val="auto"/>
          <w:sz w:val="32"/>
          <w:szCs w:val="32"/>
        </w:rPr>
        <w:t>减少</w:t>
      </w:r>
      <w:r>
        <w:rPr>
          <w:rFonts w:hint="eastAsia" w:ascii="仿宋" w:hAnsi="仿宋" w:eastAsia="仿宋"/>
          <w:color w:val="auto"/>
          <w:sz w:val="32"/>
          <w:szCs w:val="32"/>
        </w:rPr>
        <w:t>）</w:t>
      </w:r>
      <w:r>
        <w:rPr>
          <w:rFonts w:ascii="仿宋" w:hAnsi="仿宋" w:eastAsia="仿宋"/>
          <w:color w:val="auto"/>
          <w:sz w:val="32"/>
          <w:szCs w:val="32"/>
        </w:rPr>
        <w:t>。 3.公务用车购置及运行费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万元，比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color w:val="auto"/>
          <w:sz w:val="32"/>
          <w:szCs w:val="32"/>
        </w:rPr>
        <w:t>年预算数</w:t>
      </w:r>
      <w:r>
        <w:rPr>
          <w:rFonts w:hint="eastAsia" w:ascii="仿宋" w:hAnsi="仿宋" w:eastAsia="仿宋"/>
          <w:color w:val="auto"/>
          <w:sz w:val="32"/>
          <w:szCs w:val="32"/>
        </w:rPr>
        <w:t>增加（或</w:t>
      </w:r>
      <w:r>
        <w:rPr>
          <w:rFonts w:ascii="仿宋" w:hAnsi="仿宋" w:eastAsia="仿宋"/>
          <w:color w:val="auto"/>
          <w:sz w:val="32"/>
          <w:szCs w:val="32"/>
        </w:rPr>
        <w:t>减少</w:t>
      </w:r>
      <w:r>
        <w:rPr>
          <w:rFonts w:hint="eastAsia" w:ascii="仿宋" w:hAnsi="仿宋" w:eastAsia="仿宋"/>
          <w:color w:val="auto"/>
          <w:sz w:val="32"/>
          <w:szCs w:val="32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color w:val="auto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万元，比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color w:val="auto"/>
          <w:sz w:val="32"/>
          <w:szCs w:val="32"/>
        </w:rPr>
        <w:t>年预算数</w:t>
      </w:r>
      <w:r>
        <w:rPr>
          <w:rFonts w:hint="eastAsia" w:ascii="仿宋" w:hAnsi="仿宋" w:eastAsia="仿宋"/>
          <w:color w:val="auto"/>
          <w:sz w:val="32"/>
          <w:szCs w:val="32"/>
        </w:rPr>
        <w:t>增加（或</w:t>
      </w:r>
      <w:r>
        <w:rPr>
          <w:rFonts w:ascii="仿宋" w:hAnsi="仿宋" w:eastAsia="仿宋"/>
          <w:color w:val="auto"/>
          <w:sz w:val="32"/>
          <w:szCs w:val="32"/>
        </w:rPr>
        <w:t>减少</w:t>
      </w:r>
      <w:r>
        <w:rPr>
          <w:rFonts w:hint="eastAsia" w:ascii="仿宋" w:hAnsi="仿宋" w:eastAsia="仿宋"/>
          <w:color w:val="auto"/>
          <w:sz w:val="32"/>
          <w:szCs w:val="32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万元，主要原因是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不需要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</w:t>
      </w:r>
      <w:r>
        <w:rPr>
          <w:rFonts w:ascii="黑体" w:hAnsi="黑体" w:eastAsia="黑体"/>
          <w:color w:val="auto"/>
          <w:sz w:val="32"/>
          <w:szCs w:val="32"/>
        </w:rPr>
        <w:t>八、202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color w:val="auto"/>
          <w:sz w:val="32"/>
          <w:szCs w:val="32"/>
        </w:rPr>
        <w:t xml:space="preserve">年政府性基金预算支出情况 </w:t>
      </w:r>
    </w:p>
    <w:p>
      <w:pPr>
        <w:spacing w:before="240"/>
        <w:ind w:firstLine="643" w:firstLineChars="200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ascii="仿宋" w:hAnsi="仿宋" w:eastAsia="仿宋"/>
          <w:b/>
          <w:color w:val="auto"/>
          <w:sz w:val="32"/>
          <w:szCs w:val="32"/>
        </w:rPr>
        <w:t xml:space="preserve">本部门无政府性基金预算拨款 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 xml:space="preserve">九、其他重要事项的说明情况 </w:t>
      </w:r>
    </w:p>
    <w:p>
      <w:pPr>
        <w:ind w:firstLine="640" w:firstLineChars="200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（一）机关运行经费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color w:val="auto"/>
          <w:sz w:val="32"/>
          <w:szCs w:val="32"/>
        </w:rPr>
        <w:t>年部门本级 1 家行政单位以及吉林省财政厅罚没管理工作办公室等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家参公管理事业单位的机关运行经费财政拨款预算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万元，比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color w:val="auto"/>
          <w:sz w:val="32"/>
          <w:szCs w:val="32"/>
        </w:rPr>
        <w:t>年预算增加</w:t>
      </w:r>
      <w:r>
        <w:rPr>
          <w:rFonts w:hint="eastAsia" w:ascii="仿宋" w:hAnsi="仿宋" w:eastAsia="仿宋"/>
          <w:color w:val="auto"/>
          <w:sz w:val="32"/>
          <w:szCs w:val="32"/>
        </w:rPr>
        <w:t>（或减少）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万元，增长</w:t>
      </w:r>
      <w:r>
        <w:rPr>
          <w:rFonts w:hint="eastAsia" w:ascii="仿宋" w:hAnsi="仿宋" w:eastAsia="仿宋"/>
          <w:color w:val="auto"/>
          <w:sz w:val="32"/>
          <w:szCs w:val="32"/>
        </w:rPr>
        <w:t>（或下降）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%， 主要原因是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本部门为事业单位，没有机关运行费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  </w:t>
      </w:r>
      <w:r>
        <w:rPr>
          <w:rFonts w:ascii="仿宋" w:hAnsi="仿宋" w:eastAsia="仿宋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（二）政府采购情况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color w:val="auto"/>
          <w:sz w:val="32"/>
          <w:szCs w:val="32"/>
        </w:rPr>
        <w:t>本部门无政府采购预算</w:t>
      </w:r>
      <w:r>
        <w:rPr>
          <w:rFonts w:ascii="仿宋" w:hAnsi="仿宋" w:eastAsia="仿宋"/>
          <w:color w:val="auto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截至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</w:rPr>
        <w:t>12</w:t>
      </w:r>
      <w:r>
        <w:rPr>
          <w:rFonts w:ascii="仿宋" w:hAnsi="仿宋" w:eastAsia="仿宋"/>
          <w:color w:val="auto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辆，房屋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平方米，单价 50 万元及以上的通用设备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台/套，单价 100 万元及以上的专用设备实有数台/套。 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color w:val="auto"/>
          <w:sz w:val="32"/>
          <w:szCs w:val="32"/>
        </w:rPr>
        <w:t>年部门预算</w:t>
      </w:r>
      <w:r>
        <w:rPr>
          <w:rFonts w:hint="eastAsia" w:ascii="仿宋" w:hAnsi="仿宋" w:eastAsia="仿宋"/>
          <w:color w:val="auto"/>
          <w:sz w:val="32"/>
          <w:szCs w:val="32"/>
        </w:rPr>
        <w:t>没有安排</w:t>
      </w:r>
      <w:r>
        <w:rPr>
          <w:rFonts w:ascii="仿宋" w:hAnsi="仿宋" w:eastAsia="仿宋"/>
          <w:color w:val="auto"/>
          <w:sz w:val="32"/>
          <w:szCs w:val="32"/>
        </w:rPr>
        <w:t xml:space="preserve">购置车辆、土地、房屋、单价 50 万元及以上的通用设备和单价 100 万元及以上的专用设备。 </w:t>
      </w:r>
    </w:p>
    <w:p>
      <w:pPr>
        <w:ind w:firstLine="640" w:firstLineChars="200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（四）项目支出绩效目标情况说明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color w:val="auto"/>
          <w:sz w:val="32"/>
          <w:szCs w:val="32"/>
        </w:rPr>
        <w:t>本年度无</w:t>
      </w:r>
      <w:r>
        <w:rPr>
          <w:rFonts w:ascii="仿宋" w:hAnsi="仿宋" w:eastAsia="仿宋"/>
          <w:b/>
          <w:color w:val="auto"/>
          <w:sz w:val="32"/>
          <w:szCs w:val="32"/>
        </w:rPr>
        <w:t>一级项目支出</w:t>
      </w:r>
      <w:r>
        <w:rPr>
          <w:rFonts w:hint="eastAsia" w:ascii="仿宋" w:hAnsi="仿宋" w:eastAsia="仿宋"/>
          <w:b/>
          <w:color w:val="auto"/>
          <w:sz w:val="32"/>
          <w:szCs w:val="32"/>
        </w:rPr>
        <w:t>预算</w:t>
      </w:r>
      <w:r>
        <w:rPr>
          <w:rFonts w:ascii="仿宋" w:hAnsi="仿宋" w:eastAsia="仿宋"/>
          <w:color w:val="auto"/>
          <w:sz w:val="32"/>
          <w:szCs w:val="32"/>
        </w:rPr>
        <w:t xml:space="preserve"> </w:t>
      </w:r>
    </w:p>
    <w:p>
      <w:pPr>
        <w:ind w:firstLine="640" w:firstLineChars="200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iM2YyNjZjMDQ3ZDFiZmViZWM4MjQwOWQwZjhlYzIifQ=="/>
  </w:docVars>
  <w:rsids>
    <w:rsidRoot w:val="00F56C7F"/>
    <w:rsid w:val="0038785D"/>
    <w:rsid w:val="003D180D"/>
    <w:rsid w:val="00447A14"/>
    <w:rsid w:val="00465D1A"/>
    <w:rsid w:val="00511CA1"/>
    <w:rsid w:val="006408CA"/>
    <w:rsid w:val="006928F4"/>
    <w:rsid w:val="00772FEA"/>
    <w:rsid w:val="009F541B"/>
    <w:rsid w:val="00B97DBD"/>
    <w:rsid w:val="00D00FFA"/>
    <w:rsid w:val="00E770E8"/>
    <w:rsid w:val="00F56C7F"/>
    <w:rsid w:val="00FA5C51"/>
    <w:rsid w:val="00FC3B1B"/>
    <w:rsid w:val="0F76748F"/>
    <w:rsid w:val="144B6C0D"/>
    <w:rsid w:val="17E5678D"/>
    <w:rsid w:val="19175FE6"/>
    <w:rsid w:val="1D76522A"/>
    <w:rsid w:val="235D662C"/>
    <w:rsid w:val="267442D0"/>
    <w:rsid w:val="2F3C5BA7"/>
    <w:rsid w:val="3BEA738C"/>
    <w:rsid w:val="49F37B74"/>
    <w:rsid w:val="582C5F09"/>
    <w:rsid w:val="59092A29"/>
    <w:rsid w:val="59EE4FF7"/>
    <w:rsid w:val="5E7E6D93"/>
    <w:rsid w:val="60B54DC6"/>
    <w:rsid w:val="686A33C9"/>
    <w:rsid w:val="6D9D16F0"/>
    <w:rsid w:val="6F9208F0"/>
    <w:rsid w:val="75C05B4E"/>
    <w:rsid w:val="7E3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1500</Words>
  <Characters>1730</Characters>
  <Lines>25</Lines>
  <Paragraphs>7</Paragraphs>
  <TotalTime>122</TotalTime>
  <ScaleCrop>false</ScaleCrop>
  <LinksUpToDate>false</LinksUpToDate>
  <CharactersWithSpaces>1974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2020-02-27T06:04:00Z</dcterms:created>
  <dc:creator>PC</dc:creator>
  <cp:lastModifiedBy>sgr</cp:lastModifiedBy>
  <cp:lastPrinted>2023-04-27T22:09:00Z</cp:lastPrinted>
  <dcterms:modified xsi:type="dcterms:W3CDTF">2023-09-20T09:07:07Z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B95829B07A9C455782E915635CF3D352_13</vt:lpwstr>
  </property>
</Properties>
</file>